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Borders>
          <w:top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6"/>
      </w:tblGrid>
      <w:tr w:rsidR="007B5837" w:rsidTr="007B5837">
        <w:tc>
          <w:tcPr>
            <w:tcW w:w="4535" w:type="dxa"/>
          </w:tcPr>
          <w:p w:rsidR="007B5837" w:rsidRDefault="007B5837" w:rsidP="007B5837">
            <w:pPr>
              <w:pBdr>
                <w:top w:val="nil"/>
                <w:left w:val="nil"/>
                <w:bottom w:val="nil"/>
                <w:right w:val="nil"/>
                <w:between w:val="nil"/>
              </w:pBdr>
              <w:spacing w:before="180" w:after="180"/>
              <w:jc w:val="center"/>
              <w:rPr>
                <w:rFonts w:ascii="Times New Roman" w:eastAsia="Times New Roman" w:hAnsi="Times New Roman" w:cs="Times New Roman"/>
              </w:rPr>
            </w:pPr>
            <w:r>
              <w:rPr>
                <w:rFonts w:ascii="Times New Roman" w:eastAsia="Times New Roman" w:hAnsi="Times New Roman" w:cs="Times New Roman"/>
              </w:rPr>
              <w:t>TẬP ĐOÀN ĐIỆN LỰC VIỆT NAM</w:t>
            </w:r>
          </w:p>
          <w:p w:rsidR="007B5837" w:rsidRDefault="007B5837" w:rsidP="007B5837">
            <w:pPr>
              <w:pBdr>
                <w:top w:val="nil"/>
                <w:left w:val="nil"/>
                <w:bottom w:val="nil"/>
                <w:right w:val="nil"/>
                <w:between w:val="nil"/>
              </w:pBdr>
              <w:spacing w:before="180" w:after="180"/>
              <w:jc w:val="center"/>
              <w:rPr>
                <w:rFonts w:ascii="Times New Roman" w:eastAsia="Times New Roman" w:hAnsi="Times New Roman" w:cs="Times New Roman"/>
              </w:rPr>
            </w:pPr>
            <w:r>
              <w:rPr>
                <w:rFonts w:ascii="Times New Roman" w:eastAsia="Times New Roman" w:hAnsi="Times New Roman" w:cs="Times New Roman"/>
              </w:rPr>
              <w:t>CÔNG TY ĐIỆN LỰC 3</w:t>
            </w:r>
          </w:p>
          <w:p w:rsidR="007B5837" w:rsidRDefault="007B5837" w:rsidP="007B5837">
            <w:pPr>
              <w:widowControl w:val="0"/>
              <w:spacing w:after="0" w:line="276" w:lineRule="auto"/>
              <w:jc w:val="center"/>
            </w:pPr>
            <w:r>
              <w:rPr>
                <w:rFonts w:ascii="Times New Roman" w:eastAsia="Times New Roman" w:hAnsi="Times New Roman" w:cs="Times New Roman"/>
              </w:rPr>
              <w:t>Số: 1568/DL3-4 V/v thoả thuận đầu nối NMTĐ Đăk Glun2, Đăk Glun3 tính Đăk Nông vào lưới điện Quốc gia.</w:t>
            </w:r>
          </w:p>
        </w:tc>
        <w:tc>
          <w:tcPr>
            <w:tcW w:w="4536" w:type="dxa"/>
          </w:tcPr>
          <w:p w:rsidR="007B5837" w:rsidRDefault="007B5837" w:rsidP="007B5837">
            <w:pPr>
              <w:pBdr>
                <w:top w:val="nil"/>
                <w:left w:val="nil"/>
                <w:bottom w:val="nil"/>
                <w:right w:val="nil"/>
                <w:between w:val="nil"/>
              </w:pBdr>
              <w:spacing w:before="180" w:after="180"/>
              <w:jc w:val="center"/>
              <w:rPr>
                <w:rFonts w:ascii="Times New Roman" w:eastAsia="Times New Roman" w:hAnsi="Times New Roman" w:cs="Times New Roman"/>
              </w:rPr>
            </w:pPr>
            <w:r>
              <w:rPr>
                <w:rFonts w:ascii="Times New Roman" w:eastAsia="Times New Roman" w:hAnsi="Times New Roman" w:cs="Times New Roman"/>
              </w:rPr>
              <w:t>CỘNG HÒA XÃ HỘI CHỦ NGHĨA VIỆT NAM</w:t>
            </w:r>
          </w:p>
          <w:p w:rsidR="007B5837" w:rsidRDefault="007B5837" w:rsidP="007B5837">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rPr>
              <w:t>Độc lập - Tự do - Hạnh phúc</w:t>
            </w:r>
          </w:p>
          <w:p w:rsidR="007B5837" w:rsidRDefault="007B5837" w:rsidP="007B5837">
            <w:pPr>
              <w:pBdr>
                <w:top w:val="nil"/>
                <w:left w:val="nil"/>
                <w:bottom w:val="nil"/>
                <w:right w:val="nil"/>
                <w:between w:val="nil"/>
              </w:pBdr>
              <w:spacing w:before="180" w:after="180"/>
              <w:jc w:val="center"/>
              <w:rPr>
                <w:rFonts w:ascii="Times New Roman" w:eastAsia="Times New Roman" w:hAnsi="Times New Roman" w:cs="Times New Roman"/>
              </w:rPr>
            </w:pPr>
            <w:r>
              <w:rPr>
                <w:rFonts w:ascii="Times New Roman" w:eastAsia="Times New Roman" w:hAnsi="Times New Roman" w:cs="Times New Roman"/>
              </w:rPr>
              <w:t>Đà Nẵng, ngày 17 tháng 4 năm 2009</w:t>
            </w:r>
          </w:p>
          <w:p w:rsidR="007B5837" w:rsidRDefault="007B5837" w:rsidP="007B5837">
            <w:pPr>
              <w:widowControl w:val="0"/>
              <w:spacing w:after="0" w:line="276" w:lineRule="auto"/>
              <w:jc w:val="center"/>
            </w:pPr>
          </w:p>
        </w:tc>
      </w:tr>
    </w:tbl>
    <w:p w:rsidR="007B5837" w:rsidRDefault="007B5837">
      <w:pPr>
        <w:widowControl w:val="0"/>
        <w:pBdr>
          <w:top w:val="nil"/>
          <w:left w:val="nil"/>
          <w:bottom w:val="nil"/>
          <w:right w:val="nil"/>
          <w:between w:val="nil"/>
        </w:pBdr>
        <w:spacing w:after="0" w:line="276" w:lineRule="auto"/>
      </w:pPr>
      <w:bookmarkStart w:id="0" w:name="_GoBack"/>
      <w:bookmarkEnd w:id="0"/>
    </w:p>
    <w:tbl>
      <w:tblPr>
        <w:tblStyle w:val="TableGrid"/>
        <w:tblW w:w="0" w:type="auto"/>
        <w:tblBorders>
          <w:top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6"/>
      </w:tblGrid>
      <w:tr w:rsidR="007B5837" w:rsidTr="007B5837">
        <w:tc>
          <w:tcPr>
            <w:tcW w:w="4535" w:type="dxa"/>
          </w:tcPr>
          <w:p w:rsidR="007B5837" w:rsidRDefault="007B5837" w:rsidP="007B5837">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rPr>
              <w:t>VIETNAM ELECTRICITY GROUP POWER COMPANY 3</w:t>
            </w:r>
          </w:p>
          <w:p w:rsidR="007B5837" w:rsidRDefault="007B5837" w:rsidP="007B5837">
            <w:pPr>
              <w:pBdr>
                <w:top w:val="nil"/>
                <w:left w:val="nil"/>
                <w:bottom w:val="nil"/>
                <w:right w:val="nil"/>
                <w:between w:val="nil"/>
              </w:pBdr>
              <w:spacing w:before="180" w:after="180"/>
              <w:jc w:val="center"/>
              <w:rPr>
                <w:rFonts w:ascii="Times New Roman" w:eastAsia="Times New Roman" w:hAnsi="Times New Roman" w:cs="Times New Roman"/>
              </w:rPr>
            </w:pPr>
            <w:r>
              <w:rPr>
                <w:rFonts w:ascii="Times New Roman" w:eastAsia="Times New Roman" w:hAnsi="Times New Roman" w:cs="Times New Roman"/>
              </w:rPr>
              <w:t>No.: 1568/DL3-4</w:t>
            </w:r>
          </w:p>
          <w:p w:rsidR="007B5837" w:rsidRDefault="007B5837" w:rsidP="007B5837">
            <w:pPr>
              <w:pBdr>
                <w:top w:val="nil"/>
                <w:left w:val="nil"/>
                <w:bottom w:val="nil"/>
                <w:right w:val="nil"/>
                <w:between w:val="nil"/>
              </w:pBdr>
              <w:spacing w:before="180" w:after="180"/>
              <w:jc w:val="center"/>
              <w:rPr>
                <w:rFonts w:ascii="Times New Roman" w:eastAsia="Times New Roman" w:hAnsi="Times New Roman" w:cs="Times New Roman"/>
              </w:rPr>
            </w:pPr>
            <w:r>
              <w:rPr>
                <w:rFonts w:ascii="Times New Roman" w:eastAsia="Times New Roman" w:hAnsi="Times New Roman" w:cs="Times New Roman"/>
              </w:rPr>
              <w:t>Re: Agreement on connecting Đăk Glun 2 and Đăk Glun 3 Hydropower Plants in Đăk Nông province to the National Power Grid. Da Nang, April 17, 2009</w:t>
            </w:r>
          </w:p>
          <w:p w:rsidR="007B5837" w:rsidRDefault="007B5837" w:rsidP="007B5837">
            <w:pPr>
              <w:widowControl w:val="0"/>
              <w:spacing w:after="0" w:line="276" w:lineRule="auto"/>
              <w:jc w:val="center"/>
            </w:pPr>
          </w:p>
        </w:tc>
        <w:tc>
          <w:tcPr>
            <w:tcW w:w="4536" w:type="dxa"/>
          </w:tcPr>
          <w:p w:rsidR="007B5837" w:rsidRDefault="007B5837" w:rsidP="007B5837">
            <w:pPr>
              <w:widowControl w:val="0"/>
              <w:spacing w:after="0" w:line="276" w:lineRule="auto"/>
              <w:jc w:val="center"/>
              <w:rPr>
                <w:rFonts w:ascii="Times New Roman" w:eastAsia="Times New Roman" w:hAnsi="Times New Roman" w:cs="Times New Roman"/>
              </w:rPr>
            </w:pPr>
            <w:r>
              <w:rPr>
                <w:rFonts w:ascii="Times New Roman" w:eastAsia="Times New Roman" w:hAnsi="Times New Roman" w:cs="Times New Roman"/>
              </w:rPr>
              <w:t xml:space="preserve">SOCIALIST REPUBLIC OF VIETNAM Independence - Freedom </w:t>
            </w:r>
            <w:r>
              <w:rPr>
                <w:rFonts w:ascii="Times New Roman" w:eastAsia="Times New Roman" w:hAnsi="Times New Roman" w:cs="Times New Roman"/>
              </w:rPr>
              <w:t>–</w:t>
            </w:r>
            <w:r>
              <w:rPr>
                <w:rFonts w:ascii="Times New Roman" w:eastAsia="Times New Roman" w:hAnsi="Times New Roman" w:cs="Times New Roman"/>
              </w:rPr>
              <w:t xml:space="preserve"> Happiness</w:t>
            </w:r>
          </w:p>
          <w:p w:rsidR="007B5837" w:rsidRDefault="007B5837" w:rsidP="007B5837">
            <w:pPr>
              <w:widowControl w:val="0"/>
              <w:spacing w:after="0" w:line="276" w:lineRule="auto"/>
              <w:jc w:val="center"/>
            </w:pPr>
            <w:r>
              <w:rPr>
                <w:rFonts w:ascii="Times New Roman" w:eastAsia="Times New Roman" w:hAnsi="Times New Roman" w:cs="Times New Roman"/>
              </w:rPr>
              <w:t>Da Nang, April 17, 2009</w:t>
            </w:r>
          </w:p>
        </w:tc>
      </w:tr>
    </w:tbl>
    <w:p w:rsidR="006D6FBD" w:rsidRDefault="00E012D7">
      <w:pPr>
        <w:widowControl w:val="0"/>
        <w:pBdr>
          <w:top w:val="nil"/>
          <w:left w:val="nil"/>
          <w:bottom w:val="nil"/>
          <w:right w:val="nil"/>
          <w:between w:val="nil"/>
        </w:pBdr>
        <w:spacing w:after="0" w:line="276" w:lineRule="auto"/>
      </w:pPr>
      <w:r>
        <w:pict w14:anchorId="6558AC0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8" type="#_x0000_t136" style="position:absolute;margin-left:0;margin-top:0;width:50pt;height:50pt;z-index:251656704;visibility:hidden;mso-position-horizontal-relative:text;mso-position-vertical-relative:text">
            <o:lock v:ext="edit" selection="t"/>
          </v:shape>
        </w:pict>
      </w:r>
      <w:r>
        <w:pict w14:anchorId="15CBB1DB">
          <v:shape id="_x0000_s1027" type="#_x0000_t136" style="position:absolute;margin-left:0;margin-top:0;width:50pt;height:50pt;z-index:251657728;visibility:hidden;mso-position-horizontal-relative:text;mso-position-vertical-relative:text">
            <o:lock v:ext="edit" selection="t"/>
          </v:shape>
        </w:pict>
      </w:r>
      <w:r>
        <w:pict w14:anchorId="49079F6B">
          <v:shape id="_x0000_s1026" type="#_x0000_t136" style="position:absolute;margin-left:0;margin-top:0;width:50pt;height:50pt;z-index:251658752;visibility:hidden;mso-position-horizontal-relative:text;mso-position-vertical-relative:text">
            <o:lock v:ext="edit" selection="t"/>
          </v:shape>
        </w:pict>
      </w:r>
    </w:p>
    <w:p w:rsidR="006D6FBD" w:rsidRDefault="00E012D7">
      <w:pPr>
        <w:pStyle w:val="Heading1"/>
        <w:rPr>
          <w:rFonts w:ascii="Times New Roman" w:eastAsia="Times New Roman" w:hAnsi="Times New Roman" w:cs="Times New Roman"/>
          <w:color w:val="000000"/>
        </w:rPr>
      </w:pPr>
      <w:r>
        <w:rPr>
          <w:rFonts w:ascii="Times New Roman" w:eastAsia="Times New Roman" w:hAnsi="Times New Roman" w:cs="Times New Roman"/>
          <w:color w:val="000000"/>
        </w:rPr>
        <w:t>Kính gửi: Công ty Cổ phần thuỷ điện Đăk Glun</w:t>
      </w:r>
    </w:p>
    <w:p w:rsidR="006D6FBD" w:rsidRDefault="00E012D7">
      <w:pPr>
        <w:pStyle w:val="Heading1"/>
        <w:rPr>
          <w:rFonts w:ascii="Times New Roman" w:eastAsia="Times New Roman" w:hAnsi="Times New Roman" w:cs="Times New Roman"/>
          <w:color w:val="000000"/>
        </w:rPr>
      </w:pPr>
      <w:r>
        <w:rPr>
          <w:rFonts w:ascii="Times New Roman" w:eastAsia="Times New Roman" w:hAnsi="Times New Roman" w:cs="Times New Roman"/>
          <w:color w:val="000000"/>
        </w:rPr>
        <w:t>T</w:t>
      </w:r>
      <w:r>
        <w:rPr>
          <w:rFonts w:ascii="Times New Roman" w:eastAsia="Times New Roman" w:hAnsi="Times New Roman" w:cs="Times New Roman"/>
          <w:color w:val="000000"/>
        </w:rPr>
        <w:t>o: Đăk Glun Hydropower Joint Stock Company</w:t>
      </w:r>
    </w:p>
    <w:p w:rsidR="006D6FBD" w:rsidRDefault="00E012D7">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t>Công ty Điện lực 3 nhận được phương án đấu nối NMTĐ Đăk Glun 2 và NMTĐ Đăk Glun 3 vào lưới điện Quốc gia do Công ty TNHH tư vấn xây dựng Đại An Kon Tum lập</w:t>
      </w:r>
      <w:r>
        <w:rPr>
          <w:rFonts w:ascii="Times New Roman" w:eastAsia="Times New Roman" w:hAnsi="Times New Roman" w:cs="Times New Roman"/>
        </w:rPr>
        <w:t xml:space="preserve"> năm 2008. Sau khi xem xét, Công ty Điện lực 3 có ý kiến thoả thuận như sau:</w:t>
      </w:r>
    </w:p>
    <w:p w:rsidR="006D6FBD" w:rsidRDefault="00E012D7">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t xml:space="preserve">Power Company 3 has received the connection plan for Đăk Glun 2 HPP and Đăk Glun 3 HPP to the National Power Grid, prepared by Đại An Kon Tum Construction Consulting LLC in 2008. </w:t>
      </w:r>
      <w:r>
        <w:rPr>
          <w:rFonts w:ascii="Times New Roman" w:eastAsia="Times New Roman" w:hAnsi="Times New Roman" w:cs="Times New Roman"/>
        </w:rPr>
        <w:t>After review, Power Company 3 provides the following agreement:</w:t>
      </w:r>
    </w:p>
    <w:p w:rsidR="006D6FBD" w:rsidRDefault="00E012D7">
      <w:pPr>
        <w:pStyle w:val="Heading2"/>
        <w:rPr>
          <w:rFonts w:ascii="Times New Roman" w:eastAsia="Times New Roman" w:hAnsi="Times New Roman" w:cs="Times New Roman"/>
          <w:color w:val="000000"/>
        </w:rPr>
      </w:pPr>
      <w:r>
        <w:rPr>
          <w:rFonts w:ascii="Times New Roman" w:eastAsia="Times New Roman" w:hAnsi="Times New Roman" w:cs="Times New Roman"/>
          <w:color w:val="000000"/>
        </w:rPr>
        <w:t>1. Các văn bản pháp lý:</w:t>
      </w:r>
    </w:p>
    <w:p w:rsidR="006D6FBD" w:rsidRDefault="00E012D7">
      <w:pPr>
        <w:pStyle w:val="Heading2"/>
        <w:rPr>
          <w:rFonts w:ascii="Times New Roman" w:eastAsia="Times New Roman" w:hAnsi="Times New Roman" w:cs="Times New Roman"/>
          <w:color w:val="000000"/>
        </w:rPr>
      </w:pPr>
      <w:r>
        <w:rPr>
          <w:rFonts w:ascii="Times New Roman" w:eastAsia="Times New Roman" w:hAnsi="Times New Roman" w:cs="Times New Roman"/>
          <w:color w:val="000000"/>
        </w:rPr>
        <w:t>1. Legal Documents:</w:t>
      </w:r>
    </w:p>
    <w:p w:rsidR="006D6FBD" w:rsidRDefault="00E012D7">
      <w:pPr>
        <w:numPr>
          <w:ilvl w:val="0"/>
          <w:numId w:val="1"/>
        </w:num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Công văn số 1933/UBND-CN ngày 06/9/2007 của Ủy ban nhân dân tỉnh Đăk Nông về việc chấp thuận chủ trương cho phép Công ty cổ phần xây dựng Cosevco 77 đầu tư xây dựng dự án thuỷ điện Đăk Glun 2 và 3;</w:t>
      </w:r>
    </w:p>
    <w:p w:rsidR="006D6FBD" w:rsidRDefault="00E012D7">
      <w:pPr>
        <w:numPr>
          <w:ilvl w:val="0"/>
          <w:numId w:val="1"/>
        </w:num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 xml:space="preserve">Official Letter No. 1933/UBND-CN dated September 6, 2007, </w:t>
      </w:r>
      <w:r>
        <w:rPr>
          <w:rFonts w:ascii="Times New Roman" w:eastAsia="Times New Roman" w:hAnsi="Times New Roman" w:cs="Times New Roman"/>
        </w:rPr>
        <w:t>from the People's Committee of Đăk Nông province regarding the approval in principle for Cosevco 77 Construction Joint Stock Company to invest in and construct the Đăk Glun 2 and 3 Hydropower Projects;</w:t>
      </w:r>
    </w:p>
    <w:p w:rsidR="006D6FBD" w:rsidRDefault="00E012D7">
      <w:pPr>
        <w:numPr>
          <w:ilvl w:val="0"/>
          <w:numId w:val="1"/>
        </w:num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Công văn số 2543/UBND-CN ngày 12/11/2007 của Ủy ban nh</w:t>
      </w:r>
      <w:r>
        <w:rPr>
          <w:rFonts w:ascii="Times New Roman" w:eastAsia="Times New Roman" w:hAnsi="Times New Roman" w:cs="Times New Roman"/>
        </w:rPr>
        <w:t>ân dân tỉnh Đăk Nông về việc cho phép Công ty cổ phần xây dựng Cosevco 77 làm chủ đầu tư dự án thuỷ điện Đăk Glun 2 và 3;</w:t>
      </w:r>
    </w:p>
    <w:p w:rsidR="006D6FBD" w:rsidRDefault="00E012D7">
      <w:pPr>
        <w:numPr>
          <w:ilvl w:val="0"/>
          <w:numId w:val="1"/>
        </w:num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Official Letter No. 2543/UBND-CN dated November 12, 2007, from the People's Committee of Đăk Nông province regarding the authorization</w:t>
      </w:r>
      <w:r>
        <w:rPr>
          <w:rFonts w:ascii="Times New Roman" w:eastAsia="Times New Roman" w:hAnsi="Times New Roman" w:cs="Times New Roman"/>
        </w:rPr>
        <w:t xml:space="preserve"> for Cosevco 77 </w:t>
      </w:r>
      <w:r>
        <w:rPr>
          <w:rFonts w:ascii="Times New Roman" w:eastAsia="Times New Roman" w:hAnsi="Times New Roman" w:cs="Times New Roman"/>
        </w:rPr>
        <w:lastRenderedPageBreak/>
        <w:t>Construction Joint Stock Company to be the investor of the Đăk Glun 2 and 3 Hydropower Projects;</w:t>
      </w:r>
    </w:p>
    <w:p w:rsidR="006D6FBD" w:rsidRDefault="00E012D7">
      <w:pPr>
        <w:numPr>
          <w:ilvl w:val="0"/>
          <w:numId w:val="1"/>
        </w:num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Công văn số 2862/UBND-CN ngày 03/12/2008 của Ủy ban nhân dân tỉnh Đăk Nông về việc chuyển tiếp chủ đầu tư NMTĐ Đăk Lun 2 và 3 từ Công ty Cổ phầ</w:t>
      </w:r>
      <w:r>
        <w:rPr>
          <w:rFonts w:ascii="Times New Roman" w:eastAsia="Times New Roman" w:hAnsi="Times New Roman" w:cs="Times New Roman"/>
        </w:rPr>
        <w:t>n xây dựng COSEVCO 77 sang Công ty Cổ phần thuỷ điện Đăk Glun;</w:t>
      </w:r>
    </w:p>
    <w:p w:rsidR="006D6FBD" w:rsidRDefault="00E012D7">
      <w:pPr>
        <w:numPr>
          <w:ilvl w:val="0"/>
          <w:numId w:val="1"/>
        </w:num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Official Letter No. 2862/UBND-CN dated December 3, 2008, from the People's Committee of Đăk Nông province regarding the transfer of the investor role for Đăk Glun 2 and 3 HPPs from COSEVCO 77 C</w:t>
      </w:r>
      <w:r>
        <w:rPr>
          <w:rFonts w:ascii="Times New Roman" w:eastAsia="Times New Roman" w:hAnsi="Times New Roman" w:cs="Times New Roman"/>
        </w:rPr>
        <w:t>onstruction Joint Stock Company to Đăk Glun Hydropower Joint Stock Company;</w:t>
      </w:r>
    </w:p>
    <w:p w:rsidR="006D6FBD" w:rsidRDefault="00E012D7">
      <w:pPr>
        <w:numPr>
          <w:ilvl w:val="0"/>
          <w:numId w:val="1"/>
        </w:num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Công văn số 766/UBND-CN ngày 16/4/2009 của Ủy ban nhân dân tỉnh Đăk Nông về việc điều chỉnh quy mô công suất dự án thuỷ điện Đăk Glun 2, Đăk Glun 3;</w:t>
      </w:r>
    </w:p>
    <w:p w:rsidR="006D6FBD" w:rsidRDefault="00E012D7">
      <w:pPr>
        <w:numPr>
          <w:ilvl w:val="0"/>
          <w:numId w:val="1"/>
        </w:num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Official Letter No. 766/UBND-CN</w:t>
      </w:r>
      <w:r>
        <w:rPr>
          <w:rFonts w:ascii="Times New Roman" w:eastAsia="Times New Roman" w:hAnsi="Times New Roman" w:cs="Times New Roman"/>
        </w:rPr>
        <w:t xml:space="preserve"> dated April 16, 2009, from the People's Committee of Đăk Nông province regarding the adjustment of the capacity scale for the Đăk Glun 2 and Đăk Glun 3 Hydropower Projects;</w:t>
      </w:r>
    </w:p>
    <w:p w:rsidR="006D6FBD" w:rsidRDefault="00E012D7">
      <w:pPr>
        <w:numPr>
          <w:ilvl w:val="0"/>
          <w:numId w:val="1"/>
        </w:num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 xml:space="preserve">Công văn số 5743/CV-EVN-KH ngày 29/10/2007 của Tập đoàn Điện lực Việt Nam về việc </w:t>
      </w:r>
      <w:r>
        <w:rPr>
          <w:rFonts w:ascii="Times New Roman" w:eastAsia="Times New Roman" w:hAnsi="Times New Roman" w:cs="Times New Roman"/>
        </w:rPr>
        <w:t>chấp thuận mua điện của dự án thuỷ điện Đăk Glun 2 và 3 tỉnh Đăk Nông;</w:t>
      </w:r>
    </w:p>
    <w:p w:rsidR="006D6FBD" w:rsidRDefault="00E012D7">
      <w:pPr>
        <w:numPr>
          <w:ilvl w:val="0"/>
          <w:numId w:val="1"/>
        </w:num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Official Letter No. 5743/CV-EVN-KH dated October 29, 2007, from Vietnam Electricity Group regarding the approval for purchasing electricity from the Đăk Glun 2 and 3 Hydropower Projects</w:t>
      </w:r>
      <w:r>
        <w:rPr>
          <w:rFonts w:ascii="Times New Roman" w:eastAsia="Times New Roman" w:hAnsi="Times New Roman" w:cs="Times New Roman"/>
        </w:rPr>
        <w:t xml:space="preserve"> in Đăk Nông province;</w:t>
      </w:r>
    </w:p>
    <w:p w:rsidR="006D6FBD" w:rsidRDefault="00E012D7">
      <w:pPr>
        <w:numPr>
          <w:ilvl w:val="0"/>
          <w:numId w:val="1"/>
        </w:num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Công văn số 1011/EVN-ĐT-TTĐ ngày 25/03/2009 của Tập đoàn Điện lực Việt Nam về việc thực hiện thoả thuận đấu nối các nhà máy điện độc lập vào hệ thống điện Quốc gia theo phân cấp;</w:t>
      </w:r>
    </w:p>
    <w:p w:rsidR="006D6FBD" w:rsidRDefault="00E012D7">
      <w:pPr>
        <w:numPr>
          <w:ilvl w:val="0"/>
          <w:numId w:val="1"/>
        </w:num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Official Letter No. 1011/EVN-ĐT-TTĐ dated March 25, 20</w:t>
      </w:r>
      <w:r>
        <w:rPr>
          <w:rFonts w:ascii="Times New Roman" w:eastAsia="Times New Roman" w:hAnsi="Times New Roman" w:cs="Times New Roman"/>
        </w:rPr>
        <w:t>09, from Vietnam Electricity Group regarding the implementation of connection agreements for independent power plants into the National Power System according to decentralization;</w:t>
      </w:r>
    </w:p>
    <w:p w:rsidR="006D6FBD" w:rsidRDefault="00E012D7">
      <w:pPr>
        <w:numPr>
          <w:ilvl w:val="0"/>
          <w:numId w:val="1"/>
        </w:num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Công văn ngày 06/9/2008 của Công ty TNHH N&amp;S về việc thoả thuận đấu nối NMTĐ</w:t>
      </w:r>
      <w:r>
        <w:rPr>
          <w:rFonts w:ascii="Times New Roman" w:eastAsia="Times New Roman" w:hAnsi="Times New Roman" w:cs="Times New Roman"/>
        </w:rPr>
        <w:t xml:space="preserve"> Đăk Glun vào trạm biến áp 110kV Đăk Rlấp;</w:t>
      </w:r>
    </w:p>
    <w:p w:rsidR="006D6FBD" w:rsidRDefault="00E012D7">
      <w:pPr>
        <w:numPr>
          <w:ilvl w:val="0"/>
          <w:numId w:val="1"/>
        </w:num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Official Letter dated September 6, 2008, from N&amp;S LLC regarding the agreement on connecting Đăk Glun HPP to the 110kV Đăk Rlấp Substation;</w:t>
      </w:r>
    </w:p>
    <w:p w:rsidR="006D6FBD" w:rsidRDefault="00E012D7">
      <w:pPr>
        <w:numPr>
          <w:ilvl w:val="0"/>
          <w:numId w:val="1"/>
        </w:num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Công văn số 571/CV-ĐL3-4 ngày 12/02/2009 của Công ty Điện lực 3 về việc tr</w:t>
      </w:r>
      <w:r>
        <w:rPr>
          <w:rFonts w:ascii="Times New Roman" w:eastAsia="Times New Roman" w:hAnsi="Times New Roman" w:cs="Times New Roman"/>
        </w:rPr>
        <w:t>ả lời đề nghị thoả thuận đấu nối NMTĐ Đăk Glun 2 và 3 tỉnh Đăk Nông.</w:t>
      </w:r>
    </w:p>
    <w:p w:rsidR="006D6FBD" w:rsidRDefault="00E012D7">
      <w:pPr>
        <w:numPr>
          <w:ilvl w:val="0"/>
          <w:numId w:val="1"/>
        </w:num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Official Letter No. 571/CV-ĐL3-4 dated February 12, 2009, from Power Company 3 regarding the response to the request for connection agreement for Đăk Glun 2 and 3 HPPs in Đăk Nông provinc</w:t>
      </w:r>
      <w:r>
        <w:rPr>
          <w:rFonts w:ascii="Times New Roman" w:eastAsia="Times New Roman" w:hAnsi="Times New Roman" w:cs="Times New Roman"/>
        </w:rPr>
        <w:t>e.</w:t>
      </w:r>
    </w:p>
    <w:p w:rsidR="006D6FBD" w:rsidRDefault="00E012D7">
      <w:pPr>
        <w:pStyle w:val="Heading2"/>
        <w:rPr>
          <w:rFonts w:ascii="Times New Roman" w:eastAsia="Times New Roman" w:hAnsi="Times New Roman" w:cs="Times New Roman"/>
          <w:color w:val="000000"/>
        </w:rPr>
      </w:pPr>
      <w:r>
        <w:rPr>
          <w:rFonts w:ascii="Times New Roman" w:eastAsia="Times New Roman" w:hAnsi="Times New Roman" w:cs="Times New Roman"/>
          <w:color w:val="000000"/>
        </w:rPr>
        <w:t>2. Phương án đấu nối:</w:t>
      </w:r>
    </w:p>
    <w:p w:rsidR="006D6FBD" w:rsidRDefault="00E012D7">
      <w:pPr>
        <w:pStyle w:val="Heading2"/>
        <w:rPr>
          <w:rFonts w:ascii="Times New Roman" w:eastAsia="Times New Roman" w:hAnsi="Times New Roman" w:cs="Times New Roman"/>
          <w:color w:val="000000"/>
        </w:rPr>
      </w:pPr>
      <w:r>
        <w:rPr>
          <w:rFonts w:ascii="Times New Roman" w:eastAsia="Times New Roman" w:hAnsi="Times New Roman" w:cs="Times New Roman"/>
          <w:color w:val="000000"/>
        </w:rPr>
        <w:t>2. Connection Plan:</w:t>
      </w:r>
    </w:p>
    <w:p w:rsidR="006D6FBD" w:rsidRDefault="00E012D7">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t>Thống nhất đấu nối NMTĐ Đăk Glun 2 (Công suất 3,9MW), Đăk Glun 3 (Công suất 7,1MW) vào hệ thống điện Quốc gia với nội dung sau:</w:t>
      </w:r>
    </w:p>
    <w:p w:rsidR="006D6FBD" w:rsidRDefault="00E012D7">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t>Agreement is reached to connect Đăk Glun 2 HPP (Capacity 3.9 MW) and Đăk Glun 3 HPP (Capacity 7.1 MW) to the National Power System with the following details:</w:t>
      </w:r>
    </w:p>
    <w:p w:rsidR="006D6FBD" w:rsidRDefault="00E012D7">
      <w:pPr>
        <w:numPr>
          <w:ilvl w:val="0"/>
          <w:numId w:val="1"/>
        </w:numPr>
        <w:rPr>
          <w:rFonts w:ascii="Times New Roman" w:eastAsia="Times New Roman" w:hAnsi="Times New Roman" w:cs="Times New Roman"/>
        </w:rPr>
      </w:pPr>
      <w:r>
        <w:rPr>
          <w:rFonts w:ascii="Times New Roman" w:eastAsia="Times New Roman" w:hAnsi="Times New Roman" w:cs="Times New Roman"/>
        </w:rPr>
        <w:t>Điểm đầu: trạm nâng NMTĐ Đăk Glun 2;</w:t>
      </w:r>
    </w:p>
    <w:p w:rsidR="006D6FBD" w:rsidRDefault="00E012D7">
      <w:pPr>
        <w:numPr>
          <w:ilvl w:val="0"/>
          <w:numId w:val="1"/>
        </w:numPr>
        <w:rPr>
          <w:rFonts w:ascii="Times New Roman" w:eastAsia="Times New Roman" w:hAnsi="Times New Roman" w:cs="Times New Roman"/>
        </w:rPr>
      </w:pPr>
      <w:r>
        <w:rPr>
          <w:rFonts w:ascii="Times New Roman" w:eastAsia="Times New Roman" w:hAnsi="Times New Roman" w:cs="Times New Roman"/>
        </w:rPr>
        <w:t>Starting point: Đăk Glun 2 HPP step-up substation;</w:t>
      </w:r>
    </w:p>
    <w:p w:rsidR="006D6FBD" w:rsidRDefault="00E012D7">
      <w:pPr>
        <w:numPr>
          <w:ilvl w:val="0"/>
          <w:numId w:val="1"/>
        </w:numPr>
        <w:rPr>
          <w:rFonts w:ascii="Times New Roman" w:eastAsia="Times New Roman" w:hAnsi="Times New Roman" w:cs="Times New Roman"/>
        </w:rPr>
      </w:pPr>
      <w:r>
        <w:rPr>
          <w:rFonts w:ascii="Times New Roman" w:eastAsia="Times New Roman" w:hAnsi="Times New Roman" w:cs="Times New Roman"/>
        </w:rPr>
        <w:lastRenderedPageBreak/>
        <w:t>Điểm đấu nối: thanh cái 22kV trạm 110kV Đăk Rlấp;</w:t>
      </w:r>
    </w:p>
    <w:p w:rsidR="006D6FBD" w:rsidRDefault="00E012D7">
      <w:pPr>
        <w:numPr>
          <w:ilvl w:val="0"/>
          <w:numId w:val="1"/>
        </w:numPr>
        <w:rPr>
          <w:rFonts w:ascii="Times New Roman" w:eastAsia="Times New Roman" w:hAnsi="Times New Roman" w:cs="Times New Roman"/>
        </w:rPr>
      </w:pPr>
      <w:r>
        <w:rPr>
          <w:rFonts w:ascii="Times New Roman" w:eastAsia="Times New Roman" w:hAnsi="Times New Roman" w:cs="Times New Roman"/>
        </w:rPr>
        <w:t>Connection point: 22kV busbar at 110kV Đăk Rlấp Substation;</w:t>
      </w:r>
    </w:p>
    <w:p w:rsidR="006D6FBD" w:rsidRDefault="00E012D7">
      <w:pPr>
        <w:numPr>
          <w:ilvl w:val="0"/>
          <w:numId w:val="1"/>
        </w:numPr>
        <w:rPr>
          <w:rFonts w:ascii="Times New Roman" w:eastAsia="Times New Roman" w:hAnsi="Times New Roman" w:cs="Times New Roman"/>
        </w:rPr>
      </w:pPr>
      <w:r>
        <w:rPr>
          <w:rFonts w:ascii="Times New Roman" w:eastAsia="Times New Roman" w:hAnsi="Times New Roman" w:cs="Times New Roman"/>
        </w:rPr>
        <w:t>Cấp điện áp: 22kV;</w:t>
      </w:r>
    </w:p>
    <w:p w:rsidR="006D6FBD" w:rsidRDefault="00E012D7">
      <w:pPr>
        <w:numPr>
          <w:ilvl w:val="0"/>
          <w:numId w:val="1"/>
        </w:numPr>
        <w:rPr>
          <w:rFonts w:ascii="Times New Roman" w:eastAsia="Times New Roman" w:hAnsi="Times New Roman" w:cs="Times New Roman"/>
        </w:rPr>
      </w:pPr>
      <w:r>
        <w:rPr>
          <w:rFonts w:ascii="Times New Roman" w:eastAsia="Times New Roman" w:hAnsi="Times New Roman" w:cs="Times New Roman"/>
        </w:rPr>
        <w:t>Voltage Level: 22kV;</w:t>
      </w:r>
    </w:p>
    <w:p w:rsidR="006D6FBD" w:rsidRDefault="00E012D7">
      <w:pPr>
        <w:numPr>
          <w:ilvl w:val="0"/>
          <w:numId w:val="1"/>
        </w:numPr>
        <w:rPr>
          <w:rFonts w:ascii="Times New Roman" w:eastAsia="Times New Roman" w:hAnsi="Times New Roman" w:cs="Times New Roman"/>
        </w:rPr>
      </w:pPr>
      <w:r>
        <w:rPr>
          <w:rFonts w:ascii="Times New Roman" w:eastAsia="Times New Roman" w:hAnsi="Times New Roman" w:cs="Times New Roman"/>
        </w:rPr>
        <w:t>Chế độ vận hành: trung tính nối đất trực tiếp.</w:t>
      </w:r>
    </w:p>
    <w:p w:rsidR="006D6FBD" w:rsidRDefault="00E012D7">
      <w:pPr>
        <w:numPr>
          <w:ilvl w:val="0"/>
          <w:numId w:val="1"/>
        </w:numPr>
        <w:rPr>
          <w:rFonts w:ascii="Times New Roman" w:eastAsia="Times New Roman" w:hAnsi="Times New Roman" w:cs="Times New Roman"/>
        </w:rPr>
      </w:pPr>
      <w:r>
        <w:rPr>
          <w:rFonts w:ascii="Times New Roman" w:eastAsia="Times New Roman" w:hAnsi="Times New Roman" w:cs="Times New Roman"/>
        </w:rPr>
        <w:t>Operating mode: solidly grounded neutral.</w:t>
      </w:r>
    </w:p>
    <w:p w:rsidR="006D6FBD" w:rsidRDefault="00E012D7">
      <w:pPr>
        <w:numPr>
          <w:ilvl w:val="0"/>
          <w:numId w:val="1"/>
        </w:numPr>
        <w:rPr>
          <w:rFonts w:ascii="Times New Roman" w:eastAsia="Times New Roman" w:hAnsi="Times New Roman" w:cs="Times New Roman"/>
        </w:rPr>
      </w:pPr>
      <w:r>
        <w:rPr>
          <w:rFonts w:ascii="Times New Roman" w:eastAsia="Times New Roman" w:hAnsi="Times New Roman" w:cs="Times New Roman"/>
        </w:rPr>
        <w:t>Xây dựng trạm biế</w:t>
      </w:r>
      <w:r>
        <w:rPr>
          <w:rFonts w:ascii="Times New Roman" w:eastAsia="Times New Roman" w:hAnsi="Times New Roman" w:cs="Times New Roman"/>
        </w:rPr>
        <w:t>n áp nâng tại NMTĐ Đăk Glun 2 với công suất 3x1.600kVA, điện áp 6,3/24±2x2,5%;</w:t>
      </w:r>
    </w:p>
    <w:p w:rsidR="006D6FBD" w:rsidRDefault="00E012D7">
      <w:pPr>
        <w:numPr>
          <w:ilvl w:val="0"/>
          <w:numId w:val="1"/>
        </w:numPr>
        <w:rPr>
          <w:rFonts w:ascii="Times New Roman" w:eastAsia="Times New Roman" w:hAnsi="Times New Roman" w:cs="Times New Roman"/>
        </w:rPr>
      </w:pPr>
      <w:r>
        <w:rPr>
          <w:rFonts w:ascii="Times New Roman" w:eastAsia="Times New Roman" w:hAnsi="Times New Roman" w:cs="Times New Roman"/>
        </w:rPr>
        <w:t>Construct a step-up substation at Đăk Glun 2 HPP with a capacity of 3x1,600 kVA, voltage 6.3/24±2x2.5%;</w:t>
      </w:r>
    </w:p>
    <w:p w:rsidR="006D6FBD" w:rsidRDefault="00E012D7">
      <w:pPr>
        <w:numPr>
          <w:ilvl w:val="0"/>
          <w:numId w:val="1"/>
        </w:numPr>
        <w:rPr>
          <w:rFonts w:ascii="Times New Roman" w:eastAsia="Times New Roman" w:hAnsi="Times New Roman" w:cs="Times New Roman"/>
        </w:rPr>
      </w:pPr>
      <w:r>
        <w:rPr>
          <w:rFonts w:ascii="Times New Roman" w:eastAsia="Times New Roman" w:hAnsi="Times New Roman" w:cs="Times New Roman"/>
        </w:rPr>
        <w:t xml:space="preserve">Xây dựng trạm biến áp nâng tại NMTĐ Đăk Glun 3 với công suất 3x3.000kVA, </w:t>
      </w:r>
      <w:r>
        <w:rPr>
          <w:rFonts w:ascii="Times New Roman" w:eastAsia="Times New Roman" w:hAnsi="Times New Roman" w:cs="Times New Roman"/>
        </w:rPr>
        <w:t>điện áp 6,3/24±2x2,5%;</w:t>
      </w:r>
    </w:p>
    <w:p w:rsidR="006D6FBD" w:rsidRDefault="00E012D7">
      <w:pPr>
        <w:numPr>
          <w:ilvl w:val="0"/>
          <w:numId w:val="1"/>
        </w:numPr>
        <w:rPr>
          <w:rFonts w:ascii="Times New Roman" w:eastAsia="Times New Roman" w:hAnsi="Times New Roman" w:cs="Times New Roman"/>
        </w:rPr>
      </w:pPr>
      <w:r>
        <w:rPr>
          <w:rFonts w:ascii="Times New Roman" w:eastAsia="Times New Roman" w:hAnsi="Times New Roman" w:cs="Times New Roman"/>
        </w:rPr>
        <w:t>Construct a step-up substation at Đăk Glun 3 HPP with a capacity of 3x3,000 kVA, voltage 6.3/24±2x2.5%;</w:t>
      </w:r>
    </w:p>
    <w:p w:rsidR="006D6FBD" w:rsidRDefault="00E012D7">
      <w:pPr>
        <w:numPr>
          <w:ilvl w:val="0"/>
          <w:numId w:val="1"/>
        </w:numPr>
        <w:rPr>
          <w:rFonts w:ascii="Times New Roman" w:eastAsia="Times New Roman" w:hAnsi="Times New Roman" w:cs="Times New Roman"/>
        </w:rPr>
      </w:pPr>
      <w:r>
        <w:rPr>
          <w:rFonts w:ascii="Times New Roman" w:eastAsia="Times New Roman" w:hAnsi="Times New Roman" w:cs="Times New Roman"/>
        </w:rPr>
        <w:t>Xây dựng đường dây 22kV mạch đơn dài 6,0km đấu nối NMTĐ Đăk Glun 2 đến NMTĐ Đăk Glun 3, dây dẫn 3xAC-95, cột bê tông ly tâm, xà m</w:t>
      </w:r>
      <w:r>
        <w:rPr>
          <w:rFonts w:ascii="Times New Roman" w:eastAsia="Times New Roman" w:hAnsi="Times New Roman" w:cs="Times New Roman"/>
        </w:rPr>
        <w:t>ạ kẽm nhúng nóng, cách điện polyme 24kV và SD-24kV;</w:t>
      </w:r>
    </w:p>
    <w:p w:rsidR="006D6FBD" w:rsidRDefault="00E012D7">
      <w:pPr>
        <w:numPr>
          <w:ilvl w:val="0"/>
          <w:numId w:val="1"/>
        </w:numPr>
        <w:rPr>
          <w:rFonts w:ascii="Times New Roman" w:eastAsia="Times New Roman" w:hAnsi="Times New Roman" w:cs="Times New Roman"/>
        </w:rPr>
      </w:pPr>
      <w:r>
        <w:rPr>
          <w:rFonts w:ascii="Times New Roman" w:eastAsia="Times New Roman" w:hAnsi="Times New Roman" w:cs="Times New Roman"/>
        </w:rPr>
        <w:t>Construct a 6.0 km single-circuit 22kV line connecting Đăk Glun 2 HPP to Đăk Glun 3 HPP, conductor 3xAC-95, centrifugal concrete poles, hot-dip galvanized cross arms, 24kV polymer insulators, and SD-24kV;</w:t>
      </w:r>
    </w:p>
    <w:p w:rsidR="006D6FBD" w:rsidRDefault="00E012D7">
      <w:pPr>
        <w:numPr>
          <w:ilvl w:val="0"/>
          <w:numId w:val="1"/>
        </w:numPr>
        <w:rPr>
          <w:rFonts w:ascii="Times New Roman" w:eastAsia="Times New Roman" w:hAnsi="Times New Roman" w:cs="Times New Roman"/>
        </w:rPr>
      </w:pPr>
      <w:r>
        <w:rPr>
          <w:rFonts w:ascii="Times New Roman" w:eastAsia="Times New Roman" w:hAnsi="Times New Roman" w:cs="Times New Roman"/>
        </w:rPr>
        <w:t>Xây dựng đường dây 22kV mạch kép dài 22,7km đấu nối NMTĐ Đăk Glun 3 đến trạm 110kV Đăk Rlấp, dây dẫn 3xAC-150, cột bê tông ly tâm, xà mạ kẽm nhúng nóng, cách điện polyme 24kV và SD-24kV;</w:t>
      </w:r>
    </w:p>
    <w:p w:rsidR="006D6FBD" w:rsidRDefault="00E012D7">
      <w:pPr>
        <w:numPr>
          <w:ilvl w:val="0"/>
          <w:numId w:val="1"/>
        </w:numPr>
        <w:rPr>
          <w:rFonts w:ascii="Times New Roman" w:eastAsia="Times New Roman" w:hAnsi="Times New Roman" w:cs="Times New Roman"/>
        </w:rPr>
      </w:pPr>
      <w:r>
        <w:rPr>
          <w:rFonts w:ascii="Times New Roman" w:eastAsia="Times New Roman" w:hAnsi="Times New Roman" w:cs="Times New Roman"/>
        </w:rPr>
        <w:t>Construct a 22.7 km double-circuit 22kV line connecting Đăk Glun 3 H</w:t>
      </w:r>
      <w:r>
        <w:rPr>
          <w:rFonts w:ascii="Times New Roman" w:eastAsia="Times New Roman" w:hAnsi="Times New Roman" w:cs="Times New Roman"/>
        </w:rPr>
        <w:t>PP to the 110kV Đăk Rlấp Substation, conductor 3xAC-150, centrifugal concrete poles, hot-dip galvanized cross arms, 24kV polymer insulators, and SD-24kV;</w:t>
      </w:r>
    </w:p>
    <w:p w:rsidR="006D6FBD" w:rsidRDefault="00E012D7">
      <w:pPr>
        <w:numPr>
          <w:ilvl w:val="0"/>
          <w:numId w:val="1"/>
        </w:numPr>
        <w:rPr>
          <w:rFonts w:ascii="Times New Roman" w:eastAsia="Times New Roman" w:hAnsi="Times New Roman" w:cs="Times New Roman"/>
        </w:rPr>
      </w:pPr>
      <w:r>
        <w:rPr>
          <w:rFonts w:ascii="Times New Roman" w:eastAsia="Times New Roman" w:hAnsi="Times New Roman" w:cs="Times New Roman"/>
        </w:rPr>
        <w:t>Đoạn đấu nối từ đường dây trên không 22kV vào tủ 22kV tại trạm 110kV Đăk Rlấp sử dụng cáp ngầm tiết di</w:t>
      </w:r>
      <w:r>
        <w:rPr>
          <w:rFonts w:ascii="Times New Roman" w:eastAsia="Times New Roman" w:hAnsi="Times New Roman" w:cs="Times New Roman"/>
        </w:rPr>
        <w:t>ện 185mm²/pha đi trong mương cáp;</w:t>
      </w:r>
    </w:p>
    <w:p w:rsidR="006D6FBD" w:rsidRDefault="00E012D7">
      <w:pPr>
        <w:numPr>
          <w:ilvl w:val="0"/>
          <w:numId w:val="1"/>
        </w:numPr>
        <w:rPr>
          <w:rFonts w:ascii="Times New Roman" w:eastAsia="Times New Roman" w:hAnsi="Times New Roman" w:cs="Times New Roman"/>
        </w:rPr>
      </w:pPr>
      <w:r>
        <w:rPr>
          <w:rFonts w:ascii="Times New Roman" w:eastAsia="Times New Roman" w:hAnsi="Times New Roman" w:cs="Times New Roman"/>
        </w:rPr>
        <w:t>The connection section from the 22kV overhead line to the 22kV panel at the 110kV Đăk Rlấp Substation uses 185mm²/phase underground cable running in a cable trench;</w:t>
      </w:r>
    </w:p>
    <w:p w:rsidR="006D6FBD" w:rsidRDefault="00E012D7">
      <w:pPr>
        <w:numPr>
          <w:ilvl w:val="0"/>
          <w:numId w:val="1"/>
        </w:numPr>
        <w:rPr>
          <w:rFonts w:ascii="Times New Roman" w:eastAsia="Times New Roman" w:hAnsi="Times New Roman" w:cs="Times New Roman"/>
        </w:rPr>
      </w:pPr>
      <w:r>
        <w:rPr>
          <w:rFonts w:ascii="Times New Roman" w:eastAsia="Times New Roman" w:hAnsi="Times New Roman" w:cs="Times New Roman"/>
        </w:rPr>
        <w:t>Mở rộng hai (02) ngăn lộ 22kV tại trạm 110kV Đăk Rlấp với</w:t>
      </w:r>
      <w:r>
        <w:rPr>
          <w:rFonts w:ascii="Times New Roman" w:eastAsia="Times New Roman" w:hAnsi="Times New Roman" w:cs="Times New Roman"/>
        </w:rPr>
        <w:t xml:space="preserve"> đầy đủ các thiết bị bảo vệ như 67/67N, 50/51, 50/51N, 50BF, 79/25, 27/59, 74, FR, RL;</w:t>
      </w:r>
    </w:p>
    <w:p w:rsidR="006D6FBD" w:rsidRDefault="00E012D7">
      <w:pPr>
        <w:numPr>
          <w:ilvl w:val="0"/>
          <w:numId w:val="1"/>
        </w:numPr>
        <w:rPr>
          <w:rFonts w:ascii="Times New Roman" w:eastAsia="Times New Roman" w:hAnsi="Times New Roman" w:cs="Times New Roman"/>
        </w:rPr>
      </w:pPr>
      <w:r>
        <w:rPr>
          <w:rFonts w:ascii="Times New Roman" w:eastAsia="Times New Roman" w:hAnsi="Times New Roman" w:cs="Times New Roman"/>
        </w:rPr>
        <w:t>Expansion of two (02) 22kV feeder bays at the 110kV Đăk Rlấp Substation with full protection devices such as 67/67N, 50/51, 50/51N, 50BF, 79/25, 27/59, 74, FR, RL;</w:t>
      </w:r>
    </w:p>
    <w:p w:rsidR="006D6FBD" w:rsidRDefault="00E012D7">
      <w:pPr>
        <w:numPr>
          <w:ilvl w:val="0"/>
          <w:numId w:val="1"/>
        </w:numPr>
        <w:rPr>
          <w:rFonts w:ascii="Times New Roman" w:eastAsia="Times New Roman" w:hAnsi="Times New Roman" w:cs="Times New Roman"/>
        </w:rPr>
      </w:pPr>
      <w:r>
        <w:rPr>
          <w:rFonts w:ascii="Times New Roman" w:eastAsia="Times New Roman" w:hAnsi="Times New Roman" w:cs="Times New Roman"/>
        </w:rPr>
        <w:t>Lắp đ</w:t>
      </w:r>
      <w:r>
        <w:rPr>
          <w:rFonts w:ascii="Times New Roman" w:eastAsia="Times New Roman" w:hAnsi="Times New Roman" w:cs="Times New Roman"/>
        </w:rPr>
        <w:t>ặt hệ thống thông tin – SCADA từ NMTĐ Đăk Glun 2, Đăk Glun 3 đến trạm 110kV Đăk Rlấp đảm bảo việc giám sát, điều khiển và thu thập dữ liệu từ xa, có tính đến khả năng tham gia thị trường điện cạnh tranh sau này.</w:t>
      </w:r>
    </w:p>
    <w:p w:rsidR="006D6FBD" w:rsidRDefault="00E012D7">
      <w:pPr>
        <w:numPr>
          <w:ilvl w:val="0"/>
          <w:numId w:val="1"/>
        </w:numPr>
        <w:rPr>
          <w:rFonts w:ascii="Times New Roman" w:eastAsia="Times New Roman" w:hAnsi="Times New Roman" w:cs="Times New Roman"/>
        </w:rPr>
      </w:pPr>
      <w:r>
        <w:rPr>
          <w:rFonts w:ascii="Times New Roman" w:eastAsia="Times New Roman" w:hAnsi="Times New Roman" w:cs="Times New Roman"/>
        </w:rPr>
        <w:lastRenderedPageBreak/>
        <w:t xml:space="preserve">Installation of the communication – SCADA system from Đăk Glun 2 HPP, Đăk Glun 3 HPP to the 110kV Đăk Rlấp Substation to ensure remote monitoring, control, and data acquisition, taking into account the potential for future participation in the competitive </w:t>
      </w:r>
      <w:r>
        <w:rPr>
          <w:rFonts w:ascii="Times New Roman" w:eastAsia="Times New Roman" w:hAnsi="Times New Roman" w:cs="Times New Roman"/>
        </w:rPr>
        <w:t>electricity market.</w:t>
      </w:r>
    </w:p>
    <w:p w:rsidR="006D6FBD" w:rsidRDefault="00E012D7">
      <w:pPr>
        <w:pStyle w:val="Heading2"/>
        <w:rPr>
          <w:rFonts w:ascii="Times New Roman" w:eastAsia="Times New Roman" w:hAnsi="Times New Roman" w:cs="Times New Roman"/>
          <w:color w:val="000000"/>
        </w:rPr>
      </w:pPr>
      <w:r>
        <w:rPr>
          <w:rFonts w:ascii="Times New Roman" w:eastAsia="Times New Roman" w:hAnsi="Times New Roman" w:cs="Times New Roman"/>
          <w:color w:val="000000"/>
        </w:rPr>
        <w:t>3. Vị trí lắp đặt hệ thống đo đếm điện năng:</w:t>
      </w:r>
    </w:p>
    <w:p w:rsidR="006D6FBD" w:rsidRDefault="00E012D7">
      <w:pPr>
        <w:pStyle w:val="Heading2"/>
        <w:rPr>
          <w:rFonts w:ascii="Times New Roman" w:eastAsia="Times New Roman" w:hAnsi="Times New Roman" w:cs="Times New Roman"/>
          <w:color w:val="000000"/>
        </w:rPr>
      </w:pPr>
      <w:r>
        <w:rPr>
          <w:rFonts w:ascii="Times New Roman" w:eastAsia="Times New Roman" w:hAnsi="Times New Roman" w:cs="Times New Roman"/>
          <w:color w:val="000000"/>
        </w:rPr>
        <w:t>3. Location for installation of the electricity metering system:</w:t>
      </w:r>
    </w:p>
    <w:p w:rsidR="006D6FBD" w:rsidRDefault="00E012D7">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t>Thống nhất hệ thống đo đếm điện năng được lắp đặt tại ngăn lộ 22kV trạm 110kV Đăk Rlấp bao gồm hệ thống đo đếm chính và phụ th</w:t>
      </w:r>
      <w:r>
        <w:rPr>
          <w:rFonts w:ascii="Times New Roman" w:eastAsia="Times New Roman" w:hAnsi="Times New Roman" w:cs="Times New Roman"/>
        </w:rPr>
        <w:t>eo đúng quy định.</w:t>
      </w:r>
    </w:p>
    <w:p w:rsidR="006D6FBD" w:rsidRDefault="00E012D7">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t>It is agreed that the electricity metering system shall be installed at the 22kV feeder bay of the 110kV Đăk Rlấp Substation, including the main and auxiliary metering systems, in accordance with regulations.</w:t>
      </w:r>
    </w:p>
    <w:p w:rsidR="006D6FBD" w:rsidRDefault="00E012D7">
      <w:pPr>
        <w:pStyle w:val="Heading2"/>
        <w:rPr>
          <w:rFonts w:ascii="Times New Roman" w:eastAsia="Times New Roman" w:hAnsi="Times New Roman" w:cs="Times New Roman"/>
          <w:color w:val="000000"/>
        </w:rPr>
      </w:pPr>
      <w:r>
        <w:rPr>
          <w:rFonts w:ascii="Times New Roman" w:eastAsia="Times New Roman" w:hAnsi="Times New Roman" w:cs="Times New Roman"/>
          <w:color w:val="000000"/>
        </w:rPr>
        <w:t>4. Lưu ý khi huy động công su</w:t>
      </w:r>
      <w:r>
        <w:rPr>
          <w:rFonts w:ascii="Times New Roman" w:eastAsia="Times New Roman" w:hAnsi="Times New Roman" w:cs="Times New Roman"/>
          <w:color w:val="000000"/>
        </w:rPr>
        <w:t>ất NMTĐ Đăk Glun 2 và 3:</w:t>
      </w:r>
    </w:p>
    <w:p w:rsidR="006D6FBD" w:rsidRDefault="00E012D7">
      <w:pPr>
        <w:pStyle w:val="Heading2"/>
        <w:rPr>
          <w:rFonts w:ascii="Times New Roman" w:eastAsia="Times New Roman" w:hAnsi="Times New Roman" w:cs="Times New Roman"/>
          <w:color w:val="000000"/>
        </w:rPr>
      </w:pPr>
      <w:r>
        <w:rPr>
          <w:rFonts w:ascii="Times New Roman" w:eastAsia="Times New Roman" w:hAnsi="Times New Roman" w:cs="Times New Roman"/>
          <w:color w:val="000000"/>
        </w:rPr>
        <w:t>4. Note regarding power mobilization of Đăk Glun 2 and 3 HPPs:</w:t>
      </w:r>
    </w:p>
    <w:p w:rsidR="006D6FBD" w:rsidRDefault="00E012D7">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t>Hiện tại, có 06 NMTĐ đấu nối vào trạm 110kV Đăk Rlấp ở cấp điện áp 22kV với tổng công suất lắp đặt 30MW (Đăk Ru 7,5MW; Quảng Tín 5MW; Đăk Rkeh 5MW, Nhân Cơ 1,5MW; Đăk G</w:t>
      </w:r>
      <w:r>
        <w:rPr>
          <w:rFonts w:ascii="Times New Roman" w:eastAsia="Times New Roman" w:hAnsi="Times New Roman" w:cs="Times New Roman"/>
        </w:rPr>
        <w:t>lun 2 và 3 11MW). Công suất lắp đặt trạm 110kV Đăk Rlấp là 25MVA do đó trong trường hợp quá tải trạm 110kV Đăk Rlấp sẽ xem xét hạn chế công suất của các NMTĐ theo yêu cầu của chủ sử hữu trạm 110kV Đăk Rlấp.</w:t>
      </w:r>
    </w:p>
    <w:p w:rsidR="006D6FBD" w:rsidRDefault="00E012D7">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t>Currently, there are 06 HPPs connected to the 110</w:t>
      </w:r>
      <w:r>
        <w:rPr>
          <w:rFonts w:ascii="Times New Roman" w:eastAsia="Times New Roman" w:hAnsi="Times New Roman" w:cs="Times New Roman"/>
        </w:rPr>
        <w:t>kV Đăk Rlấp Substation at the 22kV voltage level with a total installed capacity of 30MW (Đăk Ru 7.5MW; Quảng Tín 5MW; Đăk Rkeh 5MW, Nhân Cơ 1.5MW; Đăk Glun 2 and 3 11MW). The installed capacity of the 110kV Đăk Rlấp Substation is 25MVA; therefore, in case</w:t>
      </w:r>
      <w:r>
        <w:rPr>
          <w:rFonts w:ascii="Times New Roman" w:eastAsia="Times New Roman" w:hAnsi="Times New Roman" w:cs="Times New Roman"/>
        </w:rPr>
        <w:t xml:space="preserve"> of overload at the 110kV Đăk Rlấp Substation, consideration will be given to limiting the capacity of the HPPs upon request from the owner of the 110kV Đăk Rlấp Substation.</w:t>
      </w:r>
    </w:p>
    <w:p w:rsidR="006D6FBD" w:rsidRDefault="00E012D7">
      <w:pPr>
        <w:pStyle w:val="Heading2"/>
        <w:rPr>
          <w:rFonts w:ascii="Times New Roman" w:eastAsia="Times New Roman" w:hAnsi="Times New Roman" w:cs="Times New Roman"/>
          <w:color w:val="000000"/>
        </w:rPr>
      </w:pPr>
      <w:r>
        <w:rPr>
          <w:rFonts w:ascii="Times New Roman" w:eastAsia="Times New Roman" w:hAnsi="Times New Roman" w:cs="Times New Roman"/>
          <w:color w:val="000000"/>
        </w:rPr>
        <w:t>5. Về trách nhiệm đầu tư:</w:t>
      </w:r>
    </w:p>
    <w:p w:rsidR="006D6FBD" w:rsidRDefault="00E012D7">
      <w:pPr>
        <w:pStyle w:val="Heading2"/>
        <w:rPr>
          <w:rFonts w:ascii="Times New Roman" w:eastAsia="Times New Roman" w:hAnsi="Times New Roman" w:cs="Times New Roman"/>
          <w:color w:val="000000"/>
        </w:rPr>
      </w:pPr>
      <w:r>
        <w:rPr>
          <w:rFonts w:ascii="Times New Roman" w:eastAsia="Times New Roman" w:hAnsi="Times New Roman" w:cs="Times New Roman"/>
          <w:color w:val="000000"/>
        </w:rPr>
        <w:t>5. Regarding investment responsibility:</w:t>
      </w:r>
    </w:p>
    <w:p w:rsidR="006D6FBD" w:rsidRDefault="00E012D7">
      <w:pPr>
        <w:numPr>
          <w:ilvl w:val="0"/>
          <w:numId w:val="1"/>
        </w:num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 xml:space="preserve">Công ty Cổ phần </w:t>
      </w:r>
      <w:r>
        <w:rPr>
          <w:rFonts w:ascii="Times New Roman" w:eastAsia="Times New Roman" w:hAnsi="Times New Roman" w:cs="Times New Roman"/>
        </w:rPr>
        <w:t>thuỷ điện Đăk Glun chịu trách nhiệm chia sẻ vốn đầu tư và chi phí quản lý vận hành trạm 110kV Đăk Rlấp (là tài sản của Công ty TNHH N&amp;S) theo thoả thuận giữa hai bên;</w:t>
      </w:r>
    </w:p>
    <w:p w:rsidR="006D6FBD" w:rsidRDefault="00E012D7">
      <w:pPr>
        <w:numPr>
          <w:ilvl w:val="0"/>
          <w:numId w:val="1"/>
        </w:num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Đăk Glun Hydropower Joint Stock Company is responsible for sharing the investment capital</w:t>
      </w:r>
      <w:r>
        <w:rPr>
          <w:rFonts w:ascii="Times New Roman" w:eastAsia="Times New Roman" w:hAnsi="Times New Roman" w:cs="Times New Roman"/>
        </w:rPr>
        <w:t xml:space="preserve"> and operation management costs of the 110kV Đăk Rlấp Substation (which is the asset of N&amp;S Co., Ltd.) according to the agreement between the two parties;</w:t>
      </w:r>
    </w:p>
    <w:p w:rsidR="006D6FBD" w:rsidRDefault="00E012D7">
      <w:pPr>
        <w:numPr>
          <w:ilvl w:val="0"/>
          <w:numId w:val="1"/>
        </w:num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Công ty Cổ phần thuỷ điện Đăk Glun chịu trách nhiệm đầu tư trạm biến áp nâng NMTĐ Đăk Glun 2, Đăk Glu</w:t>
      </w:r>
      <w:r>
        <w:rPr>
          <w:rFonts w:ascii="Times New Roman" w:eastAsia="Times New Roman" w:hAnsi="Times New Roman" w:cs="Times New Roman"/>
        </w:rPr>
        <w:t>n 3; Đường dây 22kV trạm nâng NMTĐ Đăk Glun 2 – trạm nâng NMTĐ Đăk Glun 3 – trạm 110kV Đăk Rlấp; Đoạn đấu nối từ đường dây trên không 22kV vào tủ 22kV tại trạm 110kV Đăk Rlấp; Mở rộng hai (02) ngăn lộ 22kV tại trạm 110kV Đăk Rlấp; Lắp đặt hệ thống thông ti</w:t>
      </w:r>
      <w:r>
        <w:rPr>
          <w:rFonts w:ascii="Times New Roman" w:eastAsia="Times New Roman" w:hAnsi="Times New Roman" w:cs="Times New Roman"/>
        </w:rPr>
        <w:t>n – SCADA từ NMTĐ Đăk Glun 2, Đăk Glun 3 đến trạm 110kV Đăk Rlấp.</w:t>
      </w:r>
    </w:p>
    <w:p w:rsidR="006D6FBD" w:rsidRDefault="00E012D7">
      <w:pPr>
        <w:numPr>
          <w:ilvl w:val="0"/>
          <w:numId w:val="1"/>
        </w:num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Đăk Glun Hydropower Joint Stock Company is responsible for investing in the step-up substations for Đăk Glun 2 HPP, Đăk Glun 3 HPP; the 22kV line from Đăk Glun 2 HPP step-up substation – Đăk Glun 3 HPP step-up substation – 110kV Đăk Rlấp Substation; the co</w:t>
      </w:r>
      <w:r>
        <w:rPr>
          <w:rFonts w:ascii="Times New Roman" w:eastAsia="Times New Roman" w:hAnsi="Times New Roman" w:cs="Times New Roman"/>
        </w:rPr>
        <w:t xml:space="preserve">nnection section from the 22kV overhead line to the 22kV panel at </w:t>
      </w:r>
      <w:r>
        <w:rPr>
          <w:rFonts w:ascii="Times New Roman" w:eastAsia="Times New Roman" w:hAnsi="Times New Roman" w:cs="Times New Roman"/>
        </w:rPr>
        <w:lastRenderedPageBreak/>
        <w:t xml:space="preserve">the 110kV Đăk Rlấp Substation; the expansion of two (02) 22kV feeder bays at the 110kV Đăk Rlấp Substation; and the installation of the communication – SCADA system from Đăk Glun 2 HPP, Đăk </w:t>
      </w:r>
      <w:r>
        <w:rPr>
          <w:rFonts w:ascii="Times New Roman" w:eastAsia="Times New Roman" w:hAnsi="Times New Roman" w:cs="Times New Roman"/>
        </w:rPr>
        <w:t>Glun 3 HPP to the 110kV Đăk Rlấp Substation.</w:t>
      </w:r>
    </w:p>
    <w:p w:rsidR="006D6FBD" w:rsidRDefault="00E012D7">
      <w:pPr>
        <w:numPr>
          <w:ilvl w:val="0"/>
          <w:numId w:val="2"/>
        </w:num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Một số vấn đề liên quan khác:</w:t>
      </w:r>
    </w:p>
    <w:p w:rsidR="006D6FBD" w:rsidRDefault="00E012D7">
      <w:pPr>
        <w:pBdr>
          <w:top w:val="nil"/>
          <w:left w:val="nil"/>
          <w:bottom w:val="nil"/>
          <w:right w:val="nil"/>
          <w:between w:val="nil"/>
        </w:pBdr>
        <w:spacing w:before="36" w:after="36"/>
        <w:rPr>
          <w:rFonts w:ascii="Times New Roman" w:eastAsia="Times New Roman" w:hAnsi="Times New Roman" w:cs="Times New Roman"/>
        </w:rPr>
      </w:pPr>
      <w:r>
        <w:rPr>
          <w:rFonts w:ascii="Times New Roman" w:eastAsia="Times New Roman" w:hAnsi="Times New Roman" w:cs="Times New Roman"/>
        </w:rPr>
        <w:t>Other related issues:</w:t>
      </w:r>
    </w:p>
    <w:p w:rsidR="006D6FBD" w:rsidRDefault="00E012D7">
      <w:pPr>
        <w:numPr>
          <w:ilvl w:val="0"/>
          <w:numId w:val="1"/>
        </w:numPr>
        <w:rPr>
          <w:rFonts w:ascii="Times New Roman" w:eastAsia="Times New Roman" w:hAnsi="Times New Roman" w:cs="Times New Roman"/>
        </w:rPr>
      </w:pPr>
      <w:r>
        <w:rPr>
          <w:rFonts w:ascii="Times New Roman" w:eastAsia="Times New Roman" w:hAnsi="Times New Roman" w:cs="Times New Roman"/>
        </w:rPr>
        <w:t>Chủ đầu tư bổ sung thiết kế chi tiết trạm biến áp nâng tại NMTĐ Đăk Glun 3; đoạn đầu nối từ đường dây trên không 22kV vào tủ 22kV tại trạm 110kV Đăk Rlắp và việc mở rộng hai (02) ngăn lộ 22kV tại trạm 110kV Đăk Rlắp;</w:t>
      </w:r>
    </w:p>
    <w:p w:rsidR="006D6FBD" w:rsidRDefault="00E012D7">
      <w:pPr>
        <w:numPr>
          <w:ilvl w:val="0"/>
          <w:numId w:val="1"/>
        </w:numPr>
        <w:rPr>
          <w:rFonts w:ascii="Times New Roman" w:eastAsia="Times New Roman" w:hAnsi="Times New Roman" w:cs="Times New Roman"/>
        </w:rPr>
      </w:pPr>
      <w:r>
        <w:rPr>
          <w:rFonts w:ascii="Times New Roman" w:eastAsia="Times New Roman" w:hAnsi="Times New Roman" w:cs="Times New Roman"/>
        </w:rPr>
        <w:t>The Investor shall supplement the detai</w:t>
      </w:r>
      <w:r>
        <w:rPr>
          <w:rFonts w:ascii="Times New Roman" w:eastAsia="Times New Roman" w:hAnsi="Times New Roman" w:cs="Times New Roman"/>
        </w:rPr>
        <w:t>led design for the step-up substation at Đăk Glun 3 HPP; the connection section from the 22kV overhead line to the 22kV panel at the 110kV Đăk Rlắp Substation, and the expansion of two (02) 22kV feeder bays at the 110kV Đăk Rlắp Substation;</w:t>
      </w:r>
    </w:p>
    <w:p w:rsidR="006D6FBD" w:rsidRDefault="00E012D7">
      <w:pPr>
        <w:numPr>
          <w:ilvl w:val="0"/>
          <w:numId w:val="1"/>
        </w:numPr>
        <w:rPr>
          <w:rFonts w:ascii="Times New Roman" w:eastAsia="Times New Roman" w:hAnsi="Times New Roman" w:cs="Times New Roman"/>
        </w:rPr>
      </w:pPr>
      <w:r>
        <w:rPr>
          <w:rFonts w:ascii="Times New Roman" w:eastAsia="Times New Roman" w:hAnsi="Times New Roman" w:cs="Times New Roman"/>
        </w:rPr>
        <w:t>Trong quá trình</w:t>
      </w:r>
      <w:r>
        <w:rPr>
          <w:rFonts w:ascii="Times New Roman" w:eastAsia="Times New Roman" w:hAnsi="Times New Roman" w:cs="Times New Roman"/>
        </w:rPr>
        <w:t xml:space="preserve"> triển khai thực hiện các bước tiếp theo, đề nghị chủ đầu tư phối hợp ngành điện thực hiện các quy định:</w:t>
      </w:r>
    </w:p>
    <w:p w:rsidR="006D6FBD" w:rsidRDefault="00E012D7">
      <w:pPr>
        <w:numPr>
          <w:ilvl w:val="0"/>
          <w:numId w:val="1"/>
        </w:numPr>
        <w:rPr>
          <w:rFonts w:ascii="Times New Roman" w:eastAsia="Times New Roman" w:hAnsi="Times New Roman" w:cs="Times New Roman"/>
        </w:rPr>
      </w:pPr>
      <w:r>
        <w:rPr>
          <w:rFonts w:ascii="Times New Roman" w:eastAsia="Times New Roman" w:hAnsi="Times New Roman" w:cs="Times New Roman"/>
        </w:rPr>
        <w:t>During the implementation of subsequent steps, the Investor is requested to coordinate with the power sector to comply with the following regulations:</w:t>
      </w:r>
    </w:p>
    <w:p w:rsidR="006D6FBD" w:rsidRDefault="00E012D7">
      <w:pPr>
        <w:numPr>
          <w:ilvl w:val="0"/>
          <w:numId w:val="1"/>
        </w:numPr>
        <w:rPr>
          <w:rFonts w:ascii="Times New Roman" w:eastAsia="Times New Roman" w:hAnsi="Times New Roman" w:cs="Times New Roman"/>
        </w:rPr>
      </w:pPr>
      <w:r>
        <w:rPr>
          <w:rFonts w:ascii="Times New Roman" w:eastAsia="Times New Roman" w:hAnsi="Times New Roman" w:cs="Times New Roman"/>
        </w:rPr>
        <w:t>Quy định về quản lý đầu tư xây dựng các dự án điện độc lập ban hành kèm theo quyết định số 30/2006/QĐ-BCN ngày 31/8/2006 của Bộ trưởng Bộ Công nghiệp;</w:t>
      </w:r>
    </w:p>
    <w:p w:rsidR="006D6FBD" w:rsidRDefault="00E012D7">
      <w:pPr>
        <w:numPr>
          <w:ilvl w:val="0"/>
          <w:numId w:val="1"/>
        </w:numPr>
        <w:rPr>
          <w:rFonts w:ascii="Times New Roman" w:eastAsia="Times New Roman" w:hAnsi="Times New Roman" w:cs="Times New Roman"/>
        </w:rPr>
      </w:pPr>
      <w:r>
        <w:rPr>
          <w:rFonts w:ascii="Times New Roman" w:eastAsia="Times New Roman" w:hAnsi="Times New Roman" w:cs="Times New Roman"/>
        </w:rPr>
        <w:t xml:space="preserve">Regulation on investment and construction management for independent power projects issued together with </w:t>
      </w:r>
      <w:r>
        <w:rPr>
          <w:rFonts w:ascii="Times New Roman" w:eastAsia="Times New Roman" w:hAnsi="Times New Roman" w:cs="Times New Roman"/>
        </w:rPr>
        <w:t>Decision No. 30/2006/QD-BCN dated August 31, 2006, of the Minister of Industry;</w:t>
      </w:r>
    </w:p>
    <w:p w:rsidR="006D6FBD" w:rsidRDefault="00E012D7">
      <w:pPr>
        <w:numPr>
          <w:ilvl w:val="0"/>
          <w:numId w:val="1"/>
        </w:numPr>
        <w:rPr>
          <w:rFonts w:ascii="Times New Roman" w:eastAsia="Times New Roman" w:hAnsi="Times New Roman" w:cs="Times New Roman"/>
        </w:rPr>
      </w:pPr>
      <w:r>
        <w:rPr>
          <w:rFonts w:ascii="Times New Roman" w:eastAsia="Times New Roman" w:hAnsi="Times New Roman" w:cs="Times New Roman"/>
        </w:rPr>
        <w:t>Quy định đấu nối vào hệ thống điện Quốc gia ban hành kèm theo quyết định số 37/2006/QĐ-BCN ngày 16/10/2006 của Bộ trưởng Bộ Công nghiệp;</w:t>
      </w:r>
    </w:p>
    <w:p w:rsidR="006D6FBD" w:rsidRDefault="00E012D7">
      <w:pPr>
        <w:numPr>
          <w:ilvl w:val="0"/>
          <w:numId w:val="1"/>
        </w:numPr>
        <w:rPr>
          <w:rFonts w:ascii="Times New Roman" w:eastAsia="Times New Roman" w:hAnsi="Times New Roman" w:cs="Times New Roman"/>
        </w:rPr>
      </w:pPr>
      <w:r>
        <w:rPr>
          <w:rFonts w:ascii="Times New Roman" w:eastAsia="Times New Roman" w:hAnsi="Times New Roman" w:cs="Times New Roman"/>
        </w:rPr>
        <w:t>Regulation on connection to the Nationa</w:t>
      </w:r>
      <w:r>
        <w:rPr>
          <w:rFonts w:ascii="Times New Roman" w:eastAsia="Times New Roman" w:hAnsi="Times New Roman" w:cs="Times New Roman"/>
        </w:rPr>
        <w:t>l Power System issued together with Decision No. 37/2006/QD-BCN dated October 16, 2006, of the Minister of Industry;</w:t>
      </w:r>
    </w:p>
    <w:p w:rsidR="006D6FBD" w:rsidRDefault="00E012D7">
      <w:pPr>
        <w:numPr>
          <w:ilvl w:val="0"/>
          <w:numId w:val="1"/>
        </w:numPr>
        <w:rPr>
          <w:rFonts w:ascii="Times New Roman" w:eastAsia="Times New Roman" w:hAnsi="Times New Roman" w:cs="Times New Roman"/>
        </w:rPr>
      </w:pPr>
      <w:r>
        <w:rPr>
          <w:rFonts w:ascii="Times New Roman" w:eastAsia="Times New Roman" w:hAnsi="Times New Roman" w:cs="Times New Roman"/>
        </w:rPr>
        <w:t>Quy chế phân cấp uỷ quyền thoả thuận giá điện ký Hợp đồng mua bán điện giữa EVN và các Chủ đầu tư dự án điện độc lập ban hành kèm theo quyế</w:t>
      </w:r>
      <w:r>
        <w:rPr>
          <w:rFonts w:ascii="Times New Roman" w:eastAsia="Times New Roman" w:hAnsi="Times New Roman" w:cs="Times New Roman"/>
        </w:rPr>
        <w:t>t định số 125/QĐ-EVN-HĐQT ngày 28/02/2008 của Hội đồng Quản trị - Tập đoàn Điện lực Việt Nam.</w:t>
      </w:r>
    </w:p>
    <w:p w:rsidR="006D6FBD" w:rsidRDefault="00E012D7">
      <w:pPr>
        <w:numPr>
          <w:ilvl w:val="0"/>
          <w:numId w:val="1"/>
        </w:numPr>
        <w:rPr>
          <w:rFonts w:ascii="Times New Roman" w:eastAsia="Times New Roman" w:hAnsi="Times New Roman" w:cs="Times New Roman"/>
        </w:rPr>
      </w:pPr>
      <w:r>
        <w:rPr>
          <w:rFonts w:ascii="Times New Roman" w:eastAsia="Times New Roman" w:hAnsi="Times New Roman" w:cs="Times New Roman"/>
        </w:rPr>
        <w:t>Regulation on decentralization and authorization for electricity price negotiation and signing of Power Purchase Agreements between EVN and Independent Power Proj</w:t>
      </w:r>
      <w:r>
        <w:rPr>
          <w:rFonts w:ascii="Times New Roman" w:eastAsia="Times New Roman" w:hAnsi="Times New Roman" w:cs="Times New Roman"/>
        </w:rPr>
        <w:t>ect Investors issued together with Decision No. 125/QD-EVN-HDQT dated February 28, 2008, of the Board of Directors - Vietnam Electricity Group.</w:t>
      </w:r>
    </w:p>
    <w:p w:rsidR="006D6FBD" w:rsidRDefault="00E012D7">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t>Trân trọng.</w:t>
      </w:r>
    </w:p>
    <w:p w:rsidR="006D6FBD" w:rsidRDefault="00E012D7">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t>Sincerely.</w:t>
      </w:r>
    </w:p>
    <w:p w:rsidR="006D6FBD" w:rsidRDefault="00E012D7">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t>Nơi nhận: - Như trên; - Điện lực Đăk Nông (để biết); - Công ty TNHH N&amp;S (để phối hợp); - P2, P5, P9 Cty; - Lưu: P1, P4, Vinhnt.</w:t>
      </w:r>
    </w:p>
    <w:p w:rsidR="006D6FBD" w:rsidRDefault="00E012D7">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rPr>
        <w:t xml:space="preserve">Recipients: - As above; - Đăk Nông Power Company (for information); - N&amp;S Co., Ltd. (for coordination); - P2, P5, P9 Company; - </w:t>
      </w:r>
      <w:r>
        <w:rPr>
          <w:rFonts w:ascii="Times New Roman" w:eastAsia="Times New Roman" w:hAnsi="Times New Roman" w:cs="Times New Roman"/>
        </w:rPr>
        <w:t>File: P1, P4, Vinhnt.</w:t>
      </w:r>
    </w:p>
    <w:p w:rsidR="006D6FBD" w:rsidRDefault="00E012D7">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noProof/>
          <w:lang w:val="en-US"/>
        </w:rPr>
        <w:lastRenderedPageBreak/>
        <w:drawing>
          <wp:inline distT="0" distB="0" distL="114300" distR="114300">
            <wp:extent cx="5334000" cy="2735035"/>
            <wp:effectExtent l="0" t="0" r="0" b="0"/>
            <wp:docPr id="29"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8"/>
                    <a:srcRect/>
                    <a:stretch>
                      <a:fillRect/>
                    </a:stretch>
                  </pic:blipFill>
                  <pic:spPr>
                    <a:xfrm>
                      <a:off x="0" y="0"/>
                      <a:ext cx="5334000" cy="2735035"/>
                    </a:xfrm>
                    <a:prstGeom prst="rect">
                      <a:avLst/>
                    </a:prstGeom>
                    <a:ln/>
                  </pic:spPr>
                </pic:pic>
              </a:graphicData>
            </a:graphic>
          </wp:inline>
        </w:drawing>
      </w:r>
    </w:p>
    <w:p w:rsidR="006D6FBD" w:rsidRDefault="00E012D7">
      <w:pPr>
        <w:pBdr>
          <w:top w:val="nil"/>
          <w:left w:val="nil"/>
          <w:bottom w:val="nil"/>
          <w:right w:val="nil"/>
          <w:between w:val="nil"/>
        </w:pBdr>
        <w:spacing w:before="180" w:after="180"/>
        <w:rPr>
          <w:rFonts w:ascii="Times New Roman" w:eastAsia="Times New Roman" w:hAnsi="Times New Roman" w:cs="Times New Roman"/>
        </w:rPr>
      </w:pPr>
      <w:r>
        <w:rPr>
          <w:rFonts w:ascii="Times New Roman" w:eastAsia="Times New Roman" w:hAnsi="Times New Roman" w:cs="Times New Roman"/>
          <w:noProof/>
          <w:lang w:val="en-US"/>
        </w:rPr>
        <w:drawing>
          <wp:inline distT="0" distB="0" distL="114300" distR="114300">
            <wp:extent cx="1981200" cy="3708400"/>
            <wp:effectExtent l="0" t="0" r="0" b="0"/>
            <wp:docPr id="30"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9"/>
                    <a:srcRect/>
                    <a:stretch>
                      <a:fillRect/>
                    </a:stretch>
                  </pic:blipFill>
                  <pic:spPr>
                    <a:xfrm>
                      <a:off x="0" y="0"/>
                      <a:ext cx="1981200" cy="3708400"/>
                    </a:xfrm>
                    <a:prstGeom prst="rect">
                      <a:avLst/>
                    </a:prstGeom>
                    <a:ln/>
                  </pic:spPr>
                </pic:pic>
              </a:graphicData>
            </a:graphic>
          </wp:inline>
        </w:drawing>
      </w:r>
    </w:p>
    <w:sectPr w:rsidR="006D6FBD">
      <w:headerReference w:type="even" r:id="rId10"/>
      <w:headerReference w:type="default" r:id="rId11"/>
      <w:footerReference w:type="default" r:id="rId12"/>
      <w:headerReference w:type="first" r:id="rId13"/>
      <w:pgSz w:w="11907" w:h="16839"/>
      <w:pgMar w:top="1418" w:right="1418" w:bottom="1418" w:left="1418"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012D7" w:rsidRDefault="00E012D7">
      <w:pPr>
        <w:spacing w:after="0"/>
      </w:pPr>
      <w:r>
        <w:separator/>
      </w:r>
    </w:p>
  </w:endnote>
  <w:endnote w:type="continuationSeparator" w:id="0">
    <w:p w:rsidR="00E012D7" w:rsidRDefault="00E012D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mbria">
    <w:panose1 w:val="02040503050406030204"/>
    <w:charset w:val="00"/>
    <w:family w:val="roman"/>
    <w:pitch w:val="variable"/>
    <w:sig w:usb0="E00006FF" w:usb1="420024FF" w:usb2="02000000" w:usb3="00000000" w:csb0="0000019F" w:csb1="00000000"/>
    <w:embedRegular r:id="rId1" w:fontKey="{A6B04FDD-6308-45A8-BAFB-D3A9DC2C91AF}"/>
    <w:embedBold r:id="rId2" w:fontKey="{D3EF6C61-AB1C-4C22-AE02-59BCB256D958}"/>
    <w:embedItalic r:id="rId3" w:fontKey="{0767EEF0-8C57-410F-8B5B-588A1B803C13}"/>
  </w:font>
  <w:font w:name="Calibri">
    <w:panose1 w:val="020F0502020204030204"/>
    <w:charset w:val="00"/>
    <w:family w:val="swiss"/>
    <w:pitch w:val="variable"/>
    <w:sig w:usb0="E4002EFF" w:usb1="C200247B" w:usb2="00000009" w:usb3="00000000" w:csb0="000001FF" w:csb1="00000000"/>
    <w:embedRegular r:id="rId4" w:fontKey="{E95C8647-01C2-47D2-94D2-4746F1D81763}"/>
    <w:embedBold r:id="rId5" w:fontKey="{B0A7D2B7-C7AF-4C5C-92DC-2FBA8B05E264}"/>
    <w:embedItalic r:id="rId6" w:fontKey="{D3D6C3B8-8B61-488C-99E0-72D67D922072}"/>
  </w:font>
  <w:font w:name="Times New Roman">
    <w:panose1 w:val="02020603050405020304"/>
    <w:charset w:val="00"/>
    <w:family w:val="roman"/>
    <w:pitch w:val="variable"/>
    <w:sig w:usb0="E0002EFF" w:usb1="C000785B" w:usb2="00000009" w:usb3="00000000" w:csb0="000001FF" w:csb1="00000000"/>
  </w:font>
  <w:font w:name="Consolas">
    <w:panose1 w:val="020B0609020204030204"/>
    <w:charset w:val="00"/>
    <w:family w:val="roman"/>
    <w:notTrueType/>
    <w:pitch w:val="default"/>
    <w:embedRegular r:id="rId7" w:fontKey="{9F857B6B-A364-46D8-9553-F897CD1EB626}"/>
    <w:embedBold r:id="rId8" w:fontKey="{BB09A4F9-D393-4EC6-97EF-C9A56DDD85C5}"/>
    <w:embedItalic r:id="rId9" w:fontKey="{AB049201-E20F-4FF4-9372-9AC4AFB6CB70}"/>
    <w:embedBoldItalic r:id="rId10" w:fontKey="{57FE65D3-6A41-49CF-92E1-DA31BB3BC52B}"/>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D6FBD" w:rsidRDefault="006D6FBD"/>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012D7" w:rsidRDefault="00E012D7">
      <w:pPr>
        <w:spacing w:after="0"/>
      </w:pPr>
      <w:r>
        <w:separator/>
      </w:r>
    </w:p>
  </w:footnote>
  <w:footnote w:type="continuationSeparator" w:id="0">
    <w:p w:rsidR="00E012D7" w:rsidRDefault="00E012D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D6FBD" w:rsidRDefault="00E012D7">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 o:spid="_x0000_s2049" type="#_x0000_t136" style="position:absolute;margin-left:0;margin-top:0;width:261.3pt;height:120.25pt;rotation:315;z-index:-251658240;visibility:visible;mso-position-horizontal:center;mso-position-horizontal-relative:margin;mso-position-vertical:center;mso-position-vertical-relative:margin" fillcolor="red" stroked="f">
          <v:fill opacity=".5"/>
          <v:textpath style="font-family:&quot;&amp;quot&quot;;font-size:100pt" string="TRIAL"/>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D6FBD" w:rsidRDefault="006D6FBD"/>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D6FBD" w:rsidRDefault="00E012D7">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 o:spid="_x0000_s2050" type="#_x0000_t136" style="position:absolute;margin-left:0;margin-top:0;width:261.3pt;height:120.25pt;rotation:315;z-index:-251659264;visibility:visible;mso-position-horizontal:center;mso-position-horizontal-relative:margin;mso-position-vertical:center;mso-position-vertical-relative:margin" fillcolor="red" stroked="f">
          <v:fill opacity=".5"/>
          <v:textpath style="font-family:&quot;&amp;quot&quot;;font-size:100pt" string="TRIAL"/>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5C2B62"/>
    <w:multiLevelType w:val="multilevel"/>
    <w:tmpl w:val="0918560C"/>
    <w:lvl w:ilvl="0">
      <w:start w:val="6"/>
      <w:numFmt w:val="decimal"/>
      <w:lvlText w:val="%1."/>
      <w:lvlJc w:val="left"/>
      <w:pPr>
        <w:ind w:left="720" w:hanging="480"/>
      </w:pPr>
    </w:lvl>
    <w:lvl w:ilvl="1">
      <w:start w:val="6"/>
      <w:numFmt w:val="decimal"/>
      <w:lvlText w:val="%2."/>
      <w:lvlJc w:val="left"/>
      <w:pPr>
        <w:ind w:left="1440" w:hanging="480"/>
      </w:pPr>
    </w:lvl>
    <w:lvl w:ilvl="2">
      <w:start w:val="6"/>
      <w:numFmt w:val="decimal"/>
      <w:lvlText w:val="%3."/>
      <w:lvlJc w:val="left"/>
      <w:pPr>
        <w:ind w:left="2160" w:hanging="480"/>
      </w:pPr>
    </w:lvl>
    <w:lvl w:ilvl="3">
      <w:start w:val="6"/>
      <w:numFmt w:val="decimal"/>
      <w:lvlText w:val="%4."/>
      <w:lvlJc w:val="left"/>
      <w:pPr>
        <w:ind w:left="2880" w:hanging="480"/>
      </w:pPr>
    </w:lvl>
    <w:lvl w:ilvl="4">
      <w:start w:val="6"/>
      <w:numFmt w:val="decimal"/>
      <w:lvlText w:val="%5."/>
      <w:lvlJc w:val="left"/>
      <w:pPr>
        <w:ind w:left="3600" w:hanging="480"/>
      </w:pPr>
    </w:lvl>
    <w:lvl w:ilvl="5">
      <w:start w:val="6"/>
      <w:numFmt w:val="decimal"/>
      <w:lvlText w:val="%6."/>
      <w:lvlJc w:val="left"/>
      <w:pPr>
        <w:ind w:left="4320" w:hanging="480"/>
      </w:pPr>
    </w:lvl>
    <w:lvl w:ilvl="6">
      <w:start w:val="6"/>
      <w:numFmt w:val="decimal"/>
      <w:lvlText w:val="%7."/>
      <w:lvlJc w:val="left"/>
      <w:pPr>
        <w:ind w:left="5040" w:hanging="480"/>
      </w:pPr>
    </w:lvl>
    <w:lvl w:ilvl="7">
      <w:start w:val="6"/>
      <w:numFmt w:val="decimal"/>
      <w:lvlText w:val="%8."/>
      <w:lvlJc w:val="left"/>
      <w:pPr>
        <w:ind w:left="5760" w:hanging="480"/>
      </w:pPr>
    </w:lvl>
    <w:lvl w:ilvl="8">
      <w:start w:val="6"/>
      <w:numFmt w:val="decimal"/>
      <w:lvlText w:val="%9."/>
      <w:lvlJc w:val="left"/>
      <w:pPr>
        <w:ind w:left="6480" w:hanging="480"/>
      </w:pPr>
    </w:lvl>
  </w:abstractNum>
  <w:abstractNum w:abstractNumId="1" w15:restartNumberingAfterBreak="0">
    <w:nsid w:val="0AC83E96"/>
    <w:multiLevelType w:val="multilevel"/>
    <w:tmpl w:val="5D980DFE"/>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D6FBD"/>
    <w:rsid w:val="006D6FBD"/>
    <w:rsid w:val="007B5837"/>
    <w:rsid w:val="00E012D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740DAA9C"/>
  <w15:docId w15:val="{6BFDA4B1-95D4-4238-9971-16A9C7CB3A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mbria" w:eastAsia="Cambria" w:hAnsi="Cambria" w:cs="Cambria"/>
        <w:sz w:val="24"/>
        <w:szCs w:val="24"/>
        <w:lang w:val="en" w:eastAsia="en-US" w:bidi="ar-SA"/>
      </w:rPr>
    </w:rPrDefault>
    <w:pPrDefault>
      <w:pPr>
        <w:spacing w:after="20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80" w:after="0"/>
      <w:outlineLvl w:val="0"/>
    </w:pPr>
    <w:rPr>
      <w:rFonts w:ascii="Calibri" w:eastAsia="Calibri" w:hAnsi="Calibri" w:cs="Calibri"/>
      <w:b/>
      <w:bCs/>
      <w:color w:val="4F81BD"/>
      <w:sz w:val="32"/>
      <w:szCs w:val="32"/>
    </w:rPr>
  </w:style>
  <w:style w:type="paragraph" w:styleId="Heading2">
    <w:name w:val="heading 2"/>
    <w:basedOn w:val="Normal"/>
    <w:next w:val="Normal"/>
    <w:pPr>
      <w:keepNext/>
      <w:keepLines/>
      <w:spacing w:before="200" w:after="0"/>
      <w:outlineLvl w:val="1"/>
    </w:pPr>
    <w:rPr>
      <w:rFonts w:ascii="Calibri" w:eastAsia="Calibri" w:hAnsi="Calibri" w:cs="Calibri"/>
      <w:b/>
      <w:bCs/>
      <w:color w:val="4F81BD"/>
      <w:sz w:val="28"/>
      <w:szCs w:val="28"/>
    </w:rPr>
  </w:style>
  <w:style w:type="paragraph" w:styleId="Heading3">
    <w:name w:val="heading 3"/>
    <w:basedOn w:val="Normal"/>
    <w:next w:val="Normal"/>
    <w:pPr>
      <w:keepNext/>
      <w:keepLines/>
      <w:spacing w:before="200" w:after="0"/>
      <w:outlineLvl w:val="2"/>
    </w:pPr>
    <w:rPr>
      <w:rFonts w:ascii="Calibri" w:eastAsia="Calibri" w:hAnsi="Calibri" w:cs="Calibri"/>
      <w:b/>
      <w:bCs/>
      <w:color w:val="4F81BD"/>
    </w:rPr>
  </w:style>
  <w:style w:type="paragraph" w:styleId="Heading4">
    <w:name w:val="heading 4"/>
    <w:basedOn w:val="Normal"/>
    <w:next w:val="Normal"/>
    <w:pPr>
      <w:keepNext/>
      <w:keepLines/>
      <w:spacing w:before="200" w:after="0"/>
      <w:outlineLvl w:val="3"/>
    </w:pPr>
    <w:rPr>
      <w:rFonts w:ascii="Calibri" w:eastAsia="Calibri" w:hAnsi="Calibri" w:cs="Calibri"/>
      <w:i/>
      <w:iCs/>
      <w:color w:val="4F81BD"/>
    </w:rPr>
  </w:style>
  <w:style w:type="paragraph" w:styleId="Heading5">
    <w:name w:val="heading 5"/>
    <w:basedOn w:val="Normal"/>
    <w:next w:val="Normal"/>
    <w:pPr>
      <w:keepNext/>
      <w:keepLines/>
      <w:spacing w:before="200" w:after="0"/>
      <w:outlineLvl w:val="4"/>
    </w:pPr>
    <w:rPr>
      <w:rFonts w:ascii="Calibri" w:eastAsia="Calibri" w:hAnsi="Calibri" w:cs="Calibri"/>
      <w:color w:val="4F81BD"/>
    </w:rPr>
  </w:style>
  <w:style w:type="paragraph" w:styleId="Heading6">
    <w:name w:val="heading 6"/>
    <w:basedOn w:val="Normal"/>
    <w:next w:val="Normal"/>
    <w:pPr>
      <w:keepNext/>
      <w:keepLines/>
      <w:spacing w:before="200" w:after="0"/>
      <w:outlineLvl w:val="5"/>
    </w:pPr>
    <w:rPr>
      <w:rFonts w:ascii="Calibri" w:eastAsia="Calibri" w:hAnsi="Calibri" w:cs="Calibri"/>
      <w:color w:val="4F81BD"/>
    </w:rPr>
  </w:style>
  <w:style w:type="paragraph" w:styleId="Heading7">
    <w:name w:val="heading 7"/>
    <w:basedOn w:val="Normal"/>
    <w:next w:val="BodyText"/>
    <w:uiPriority w:val="9"/>
    <w:unhideWhenUsed/>
    <w:qFormat/>
    <w:pPr>
      <w:keepNext/>
      <w:keepLines/>
      <w:spacing w:before="200" w:after="0"/>
      <w:outlineLvl w:val="6"/>
    </w:pPr>
    <w:rPr>
      <w:rFonts w:asciiTheme="majorHAnsi" w:eastAsiaTheme="majorEastAsia" w:hAnsiTheme="majorHAnsi" w:cstheme="majorBidi"/>
      <w:color w:val="4F81BD" w:themeColor="accent1"/>
    </w:rPr>
  </w:style>
  <w:style w:type="paragraph" w:styleId="Heading8">
    <w:name w:val="heading 8"/>
    <w:basedOn w:val="Normal"/>
    <w:next w:val="BodyText"/>
    <w:uiPriority w:val="9"/>
    <w:unhideWhenUsed/>
    <w:qFormat/>
    <w:pPr>
      <w:keepNext/>
      <w:keepLines/>
      <w:spacing w:before="200" w:after="0"/>
      <w:outlineLvl w:val="7"/>
    </w:pPr>
    <w:rPr>
      <w:rFonts w:asciiTheme="majorHAnsi" w:eastAsiaTheme="majorEastAsia" w:hAnsiTheme="majorHAnsi" w:cstheme="majorBidi"/>
      <w:color w:val="4F81BD" w:themeColor="accent1"/>
    </w:rPr>
  </w:style>
  <w:style w:type="paragraph" w:styleId="Heading9">
    <w:name w:val="heading 9"/>
    <w:basedOn w:val="Normal"/>
    <w:next w:val="BodyText"/>
    <w:uiPriority w:val="9"/>
    <w:unhideWhenUsed/>
    <w:qFormat/>
    <w:pPr>
      <w:keepNext/>
      <w:keepLines/>
      <w:spacing w:before="200" w:after="0"/>
      <w:outlineLvl w:val="8"/>
    </w:pPr>
    <w:rPr>
      <w:rFonts w:asciiTheme="majorHAnsi" w:eastAsiaTheme="majorEastAsia" w:hAnsiTheme="majorHAnsi" w:cstheme="majorBidi"/>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240"/>
      <w:jc w:val="center"/>
    </w:pPr>
    <w:rPr>
      <w:rFonts w:ascii="Calibri" w:eastAsia="Calibri" w:hAnsi="Calibri" w:cs="Calibri"/>
      <w:b/>
      <w:bCs/>
      <w:color w:val="335B8A"/>
      <w:sz w:val="36"/>
      <w:szCs w:val="36"/>
    </w:rPr>
  </w:style>
  <w:style w:type="paragraph" w:styleId="BodyText">
    <w:name w:val="Body Text"/>
    <w:basedOn w:val="Normal"/>
    <w:qFormat/>
    <w:pPr>
      <w:spacing w:before="180" w:after="180"/>
    </w:pPr>
  </w:style>
  <w:style w:type="paragraph" w:customStyle="1" w:styleId="FirstParagraph">
    <w:name w:val="First Paragraph"/>
    <w:basedOn w:val="BodyText"/>
    <w:next w:val="BodyText"/>
    <w:qFormat/>
  </w:style>
  <w:style w:type="paragraph" w:customStyle="1" w:styleId="Compact">
    <w:name w:val="Compact"/>
    <w:basedOn w:val="BodyText"/>
    <w:qFormat/>
    <w:pPr>
      <w:spacing w:before="36" w:after="36"/>
    </w:pPr>
  </w:style>
  <w:style w:type="paragraph" w:customStyle="1" w:styleId="Author">
    <w:name w:val="Author"/>
    <w:next w:val="BodyText"/>
    <w:qFormat/>
    <w:pPr>
      <w:keepNext/>
      <w:keepLines/>
      <w:jc w:val="center"/>
    </w:pPr>
  </w:style>
  <w:style w:type="paragraph" w:styleId="Date">
    <w:name w:val="Date"/>
    <w:next w:val="BodyText"/>
    <w:qFormat/>
    <w:pPr>
      <w:keepNext/>
      <w:keepLines/>
      <w:jc w:val="center"/>
    </w:pPr>
  </w:style>
  <w:style w:type="paragraph" w:customStyle="1" w:styleId="AbstractTitle">
    <w:name w:val="Abstract Title"/>
    <w:basedOn w:val="Normal"/>
    <w:next w:val="Abstract"/>
    <w:qFormat/>
    <w:pPr>
      <w:keepNext/>
      <w:keepLines/>
      <w:spacing w:before="300" w:after="0"/>
      <w:jc w:val="center"/>
    </w:pPr>
    <w:rPr>
      <w:b/>
      <w:color w:val="345A8A"/>
      <w:sz w:val="20"/>
      <w:szCs w:val="20"/>
    </w:rPr>
  </w:style>
  <w:style w:type="paragraph" w:customStyle="1" w:styleId="Abstract">
    <w:name w:val="Abstract"/>
    <w:basedOn w:val="Normal"/>
    <w:next w:val="BodyText"/>
    <w:qFormat/>
    <w:pPr>
      <w:keepNext/>
      <w:keepLines/>
      <w:spacing w:before="100" w:after="300"/>
    </w:pPr>
    <w:rPr>
      <w:sz w:val="20"/>
      <w:szCs w:val="20"/>
    </w:rPr>
  </w:style>
  <w:style w:type="paragraph" w:styleId="Bibliography">
    <w:name w:val="Bibliography"/>
    <w:basedOn w:val="Normal"/>
    <w:qFormat/>
  </w:style>
  <w:style w:type="paragraph" w:styleId="BlockText">
    <w:name w:val="Block Text"/>
    <w:basedOn w:val="BodyText"/>
    <w:next w:val="BodyText"/>
    <w:uiPriority w:val="9"/>
    <w:unhideWhenUsed/>
    <w:qFormat/>
    <w:pPr>
      <w:spacing w:before="100" w:after="100"/>
      <w:ind w:left="480" w:right="480"/>
    </w:pPr>
  </w:style>
  <w:style w:type="paragraph" w:styleId="FootnoteText">
    <w:name w:val="footnote text"/>
    <w:basedOn w:val="Normal"/>
    <w:uiPriority w:val="9"/>
    <w:unhideWhenUsed/>
    <w:qFormat/>
  </w:style>
  <w:style w:type="paragraph" w:customStyle="1" w:styleId="FootnoteBlockText">
    <w:name w:val="Footnote Block Text"/>
    <w:uiPriority w:val="9"/>
    <w:unhideWhenUsed/>
    <w:qFormat/>
    <w:pPr>
      <w:spacing w:before="100" w:after="100"/>
      <w:ind w:left="480" w:right="480"/>
    </w:pPr>
  </w:style>
  <w:style w:type="table" w:customStyle="1" w:styleId="Table">
    <w:name w:val="Table"/>
    <w:semiHidden/>
    <w:unhideWhenUsed/>
    <w:qFormat/>
    <w:tblPr>
      <w:tblInd w:w="0" w:type="dxa"/>
      <w:tblCellMar>
        <w:top w:w="0" w:type="dxa"/>
        <w:left w:w="108" w:type="dxa"/>
        <w:bottom w:w="0" w:type="dxa"/>
        <w:right w:w="108" w:type="dxa"/>
      </w:tblCellMar>
    </w:tblPr>
    <w:tblStylePr w:type="firstRow">
      <w:tblPr>
        <w:jc w:val="left"/>
      </w:tblPr>
      <w:trPr>
        <w:jc w:val="left"/>
      </w:trPr>
      <w:tcPr>
        <w:tcBorders>
          <w:bottom w:val="single" w:sz="4" w:space="0" w:color="auto"/>
        </w:tcBorders>
        <w:vAlign w:val="bottom"/>
      </w:tcPr>
    </w:tblStylePr>
  </w:style>
  <w:style w:type="paragraph" w:customStyle="1" w:styleId="DefinitionTerm">
    <w:name w:val="Definition Term"/>
    <w:basedOn w:val="Normal"/>
    <w:next w:val="Definition"/>
    <w:pPr>
      <w:keepNext/>
      <w:keepLines/>
      <w:spacing w:after="0"/>
    </w:pPr>
    <w:rPr>
      <w:b/>
    </w:rPr>
  </w:style>
  <w:style w:type="paragraph" w:customStyle="1" w:styleId="Definition">
    <w:name w:val="Definition"/>
    <w:basedOn w:val="Normal"/>
  </w:style>
  <w:style w:type="paragraph" w:styleId="Caption">
    <w:name w:val="caption"/>
    <w:basedOn w:val="Normal"/>
    <w:link w:val="CaptionChar"/>
    <w:pPr>
      <w:spacing w:after="120"/>
    </w:pPr>
    <w:rPr>
      <w:i/>
    </w:rPr>
  </w:style>
  <w:style w:type="paragraph" w:customStyle="1" w:styleId="TableCaption">
    <w:name w:val="Table Caption"/>
    <w:basedOn w:val="Caption"/>
    <w:pPr>
      <w:keepNext/>
    </w:pPr>
  </w:style>
  <w:style w:type="paragraph" w:customStyle="1" w:styleId="ImageCaption">
    <w:name w:val="Image Caption"/>
    <w:basedOn w:val="Caption"/>
  </w:style>
  <w:style w:type="paragraph" w:customStyle="1" w:styleId="Figure">
    <w:name w:val="Figure"/>
    <w:basedOn w:val="Normal"/>
  </w:style>
  <w:style w:type="paragraph" w:customStyle="1" w:styleId="CaptionedFigure">
    <w:name w:val="Captioned Figure"/>
    <w:basedOn w:val="Figure"/>
    <w:pPr>
      <w:keepNext/>
    </w:pPr>
  </w:style>
  <w:style w:type="character" w:customStyle="1" w:styleId="CaptionChar">
    <w:name w:val="Caption Char"/>
    <w:basedOn w:val="DefaultParagraphFont"/>
    <w:link w:val="Caption"/>
  </w:style>
  <w:style w:type="character" w:customStyle="1" w:styleId="VerbatimChar">
    <w:name w:val="Verbatim Char"/>
    <w:basedOn w:val="CaptionChar"/>
    <w:link w:val="SourceCode"/>
    <w:rPr>
      <w:rFonts w:ascii="Consolas" w:hAnsi="Consolas"/>
      <w:sz w:val="22"/>
    </w:rPr>
  </w:style>
  <w:style w:type="character" w:customStyle="1" w:styleId="SectionNumber">
    <w:name w:val="Section Number"/>
    <w:basedOn w:val="CaptionChar"/>
  </w:style>
  <w:style w:type="character" w:styleId="FootnoteReference">
    <w:name w:val="footnote reference"/>
    <w:basedOn w:val="CaptionChar"/>
    <w:rPr>
      <w:vertAlign w:val="superscript"/>
    </w:rPr>
  </w:style>
  <w:style w:type="character" w:styleId="Hyperlink">
    <w:name w:val="Hyperlink"/>
    <w:basedOn w:val="CaptionChar"/>
    <w:rPr>
      <w:color w:val="4F81BD" w:themeColor="accent1"/>
    </w:rPr>
  </w:style>
  <w:style w:type="paragraph" w:styleId="TOCHeading">
    <w:name w:val="TOC Heading"/>
    <w:basedOn w:val="Heading1"/>
    <w:next w:val="BodyText"/>
    <w:uiPriority w:val="39"/>
    <w:unhideWhenUsed/>
    <w:qFormat/>
    <w:pPr>
      <w:spacing w:before="240" w:line="259" w:lineRule="auto"/>
      <w:outlineLvl w:val="9"/>
    </w:pPr>
    <w:rPr>
      <w:rFonts w:asciiTheme="majorHAnsi" w:eastAsiaTheme="majorEastAsia" w:hAnsiTheme="majorHAnsi" w:cstheme="majorBidi"/>
      <w:b w:val="0"/>
      <w:bCs w:val="0"/>
      <w:color w:val="365F91" w:themeColor="accent1" w:themeShade="BF"/>
    </w:rPr>
  </w:style>
  <w:style w:type="paragraph" w:customStyle="1" w:styleId="SourceCode">
    <w:name w:val="Source Code"/>
    <w:basedOn w:val="Normal"/>
    <w:link w:val="VerbatimChar"/>
    <w:pPr>
      <w:wordWrap w:val="0"/>
    </w:pPr>
  </w:style>
  <w:style w:type="character" w:customStyle="1" w:styleId="KeywordTok">
    <w:name w:val="KeywordTok"/>
    <w:basedOn w:val="VerbatimChar"/>
    <w:rPr>
      <w:rFonts w:ascii="Consolas" w:hAnsi="Consolas"/>
      <w:b/>
      <w:color w:val="007020"/>
      <w:sz w:val="22"/>
    </w:rPr>
  </w:style>
  <w:style w:type="character" w:customStyle="1" w:styleId="DataTypeTok">
    <w:name w:val="DataTypeTok"/>
    <w:basedOn w:val="VerbatimChar"/>
    <w:rPr>
      <w:rFonts w:ascii="Consolas" w:hAnsi="Consolas"/>
      <w:color w:val="902000"/>
      <w:sz w:val="22"/>
    </w:rPr>
  </w:style>
  <w:style w:type="character" w:customStyle="1" w:styleId="DecValTok">
    <w:name w:val="DecValTok"/>
    <w:basedOn w:val="VerbatimChar"/>
    <w:rPr>
      <w:rFonts w:ascii="Consolas" w:hAnsi="Consolas"/>
      <w:color w:val="40A070"/>
      <w:sz w:val="22"/>
    </w:rPr>
  </w:style>
  <w:style w:type="character" w:customStyle="1" w:styleId="BaseNTok">
    <w:name w:val="BaseNTok"/>
    <w:basedOn w:val="VerbatimChar"/>
    <w:rPr>
      <w:rFonts w:ascii="Consolas" w:hAnsi="Consolas"/>
      <w:color w:val="40A070"/>
      <w:sz w:val="22"/>
    </w:rPr>
  </w:style>
  <w:style w:type="character" w:customStyle="1" w:styleId="FloatTok">
    <w:name w:val="FloatTok"/>
    <w:basedOn w:val="VerbatimChar"/>
    <w:rPr>
      <w:rFonts w:ascii="Consolas" w:hAnsi="Consolas"/>
      <w:color w:val="40A070"/>
      <w:sz w:val="22"/>
    </w:rPr>
  </w:style>
  <w:style w:type="character" w:customStyle="1" w:styleId="ConstantTok">
    <w:name w:val="ConstantTok"/>
    <w:basedOn w:val="VerbatimChar"/>
    <w:rPr>
      <w:rFonts w:ascii="Consolas" w:hAnsi="Consolas"/>
      <w:color w:val="880000"/>
      <w:sz w:val="22"/>
    </w:rPr>
  </w:style>
  <w:style w:type="character" w:customStyle="1" w:styleId="CharTok">
    <w:name w:val="CharTok"/>
    <w:basedOn w:val="VerbatimChar"/>
    <w:rPr>
      <w:rFonts w:ascii="Consolas" w:hAnsi="Consolas"/>
      <w:color w:val="4070A0"/>
      <w:sz w:val="22"/>
    </w:rPr>
  </w:style>
  <w:style w:type="character" w:customStyle="1" w:styleId="SpecialCharTok">
    <w:name w:val="SpecialCharTok"/>
    <w:basedOn w:val="VerbatimChar"/>
    <w:rPr>
      <w:rFonts w:ascii="Consolas" w:hAnsi="Consolas"/>
      <w:color w:val="4070A0"/>
      <w:sz w:val="22"/>
    </w:rPr>
  </w:style>
  <w:style w:type="character" w:customStyle="1" w:styleId="StringTok">
    <w:name w:val="StringTok"/>
    <w:basedOn w:val="VerbatimChar"/>
    <w:rPr>
      <w:rFonts w:ascii="Consolas" w:hAnsi="Consolas"/>
      <w:color w:val="4070A0"/>
      <w:sz w:val="22"/>
    </w:rPr>
  </w:style>
  <w:style w:type="character" w:customStyle="1" w:styleId="VerbatimStringTok">
    <w:name w:val="VerbatimStringTok"/>
    <w:basedOn w:val="VerbatimChar"/>
    <w:rPr>
      <w:rFonts w:ascii="Consolas" w:hAnsi="Consolas"/>
      <w:color w:val="4070A0"/>
      <w:sz w:val="22"/>
    </w:rPr>
  </w:style>
  <w:style w:type="character" w:customStyle="1" w:styleId="SpecialStringTok">
    <w:name w:val="SpecialStringTok"/>
    <w:basedOn w:val="VerbatimChar"/>
    <w:rPr>
      <w:rFonts w:ascii="Consolas" w:hAnsi="Consolas"/>
      <w:color w:val="BB6688"/>
      <w:sz w:val="22"/>
    </w:rPr>
  </w:style>
  <w:style w:type="character" w:customStyle="1" w:styleId="ImportTok">
    <w:name w:val="ImportTok"/>
    <w:basedOn w:val="VerbatimChar"/>
    <w:rPr>
      <w:rFonts w:ascii="Consolas" w:hAnsi="Consolas"/>
      <w:b/>
      <w:color w:val="008000"/>
      <w:sz w:val="22"/>
    </w:rPr>
  </w:style>
  <w:style w:type="character" w:customStyle="1" w:styleId="CommentTok">
    <w:name w:val="CommentTok"/>
    <w:basedOn w:val="VerbatimChar"/>
    <w:rPr>
      <w:rFonts w:ascii="Consolas" w:hAnsi="Consolas"/>
      <w:i/>
      <w:color w:val="60A0B0"/>
      <w:sz w:val="22"/>
    </w:rPr>
  </w:style>
  <w:style w:type="character" w:customStyle="1" w:styleId="DocumentationTok">
    <w:name w:val="DocumentationTok"/>
    <w:basedOn w:val="VerbatimChar"/>
    <w:rPr>
      <w:rFonts w:ascii="Consolas" w:hAnsi="Consolas"/>
      <w:i/>
      <w:color w:val="BA2121"/>
      <w:sz w:val="22"/>
    </w:rPr>
  </w:style>
  <w:style w:type="character" w:customStyle="1" w:styleId="AnnotationTok">
    <w:name w:val="AnnotationTok"/>
    <w:basedOn w:val="VerbatimChar"/>
    <w:rPr>
      <w:rFonts w:ascii="Consolas" w:hAnsi="Consolas"/>
      <w:b/>
      <w:i/>
      <w:color w:val="60A0B0"/>
      <w:sz w:val="22"/>
    </w:rPr>
  </w:style>
  <w:style w:type="character" w:customStyle="1" w:styleId="CommentVarTok">
    <w:name w:val="CommentVarTok"/>
    <w:basedOn w:val="VerbatimChar"/>
    <w:rPr>
      <w:rFonts w:ascii="Consolas" w:hAnsi="Consolas"/>
      <w:b/>
      <w:i/>
      <w:color w:val="60A0B0"/>
      <w:sz w:val="22"/>
    </w:rPr>
  </w:style>
  <w:style w:type="character" w:customStyle="1" w:styleId="OtherTok">
    <w:name w:val="OtherTok"/>
    <w:basedOn w:val="VerbatimChar"/>
    <w:rPr>
      <w:rFonts w:ascii="Consolas" w:hAnsi="Consolas"/>
      <w:color w:val="007020"/>
      <w:sz w:val="22"/>
    </w:rPr>
  </w:style>
  <w:style w:type="character" w:customStyle="1" w:styleId="FunctionTok">
    <w:name w:val="FunctionTok"/>
    <w:basedOn w:val="VerbatimChar"/>
    <w:rPr>
      <w:rFonts w:ascii="Consolas" w:hAnsi="Consolas"/>
      <w:color w:val="06287E"/>
      <w:sz w:val="22"/>
    </w:rPr>
  </w:style>
  <w:style w:type="character" w:customStyle="1" w:styleId="VariableTok">
    <w:name w:val="VariableTok"/>
    <w:basedOn w:val="VerbatimChar"/>
    <w:rPr>
      <w:rFonts w:ascii="Consolas" w:hAnsi="Consolas"/>
      <w:color w:val="19177C"/>
      <w:sz w:val="22"/>
    </w:rPr>
  </w:style>
  <w:style w:type="character" w:customStyle="1" w:styleId="ControlFlowTok">
    <w:name w:val="ControlFlowTok"/>
    <w:basedOn w:val="VerbatimChar"/>
    <w:rPr>
      <w:rFonts w:ascii="Consolas" w:hAnsi="Consolas"/>
      <w:b/>
      <w:color w:val="007020"/>
      <w:sz w:val="22"/>
    </w:rPr>
  </w:style>
  <w:style w:type="character" w:customStyle="1" w:styleId="OperatorTok">
    <w:name w:val="OperatorTok"/>
    <w:basedOn w:val="VerbatimChar"/>
    <w:rPr>
      <w:rFonts w:ascii="Consolas" w:hAnsi="Consolas"/>
      <w:color w:val="666666"/>
      <w:sz w:val="22"/>
    </w:rPr>
  </w:style>
  <w:style w:type="character" w:customStyle="1" w:styleId="BuiltInTok">
    <w:name w:val="BuiltInTok"/>
    <w:basedOn w:val="VerbatimChar"/>
    <w:rPr>
      <w:rFonts w:ascii="Consolas" w:hAnsi="Consolas"/>
      <w:color w:val="008000"/>
      <w:sz w:val="22"/>
    </w:rPr>
  </w:style>
  <w:style w:type="character" w:customStyle="1" w:styleId="ExtensionTok">
    <w:name w:val="ExtensionTok"/>
    <w:basedOn w:val="VerbatimChar"/>
    <w:rPr>
      <w:rFonts w:ascii="Consolas" w:hAnsi="Consolas"/>
      <w:sz w:val="22"/>
    </w:rPr>
  </w:style>
  <w:style w:type="character" w:customStyle="1" w:styleId="PreprocessorTok">
    <w:name w:val="PreprocessorTok"/>
    <w:basedOn w:val="VerbatimChar"/>
    <w:rPr>
      <w:rFonts w:ascii="Consolas" w:hAnsi="Consolas"/>
      <w:color w:val="BC7A00"/>
      <w:sz w:val="22"/>
    </w:rPr>
  </w:style>
  <w:style w:type="character" w:customStyle="1" w:styleId="AttributeTok">
    <w:name w:val="AttributeTok"/>
    <w:basedOn w:val="VerbatimChar"/>
    <w:rPr>
      <w:rFonts w:ascii="Consolas" w:hAnsi="Consolas"/>
      <w:color w:val="7D9029"/>
      <w:sz w:val="22"/>
    </w:rPr>
  </w:style>
  <w:style w:type="character" w:customStyle="1" w:styleId="RegionMarkerTok">
    <w:name w:val="RegionMarkerTok"/>
    <w:basedOn w:val="VerbatimChar"/>
    <w:rPr>
      <w:rFonts w:ascii="Consolas" w:hAnsi="Consolas"/>
      <w:sz w:val="22"/>
    </w:rPr>
  </w:style>
  <w:style w:type="character" w:customStyle="1" w:styleId="InformationTok">
    <w:name w:val="InformationTok"/>
    <w:basedOn w:val="VerbatimChar"/>
    <w:rPr>
      <w:rFonts w:ascii="Consolas" w:hAnsi="Consolas"/>
      <w:b/>
      <w:i/>
      <w:color w:val="60A0B0"/>
      <w:sz w:val="22"/>
    </w:rPr>
  </w:style>
  <w:style w:type="character" w:customStyle="1" w:styleId="WarningTok">
    <w:name w:val="WarningTok"/>
    <w:basedOn w:val="VerbatimChar"/>
    <w:rPr>
      <w:rFonts w:ascii="Consolas" w:hAnsi="Consolas"/>
      <w:b/>
      <w:i/>
      <w:color w:val="60A0B0"/>
      <w:sz w:val="22"/>
    </w:rPr>
  </w:style>
  <w:style w:type="character" w:customStyle="1" w:styleId="AlertTok">
    <w:name w:val="AlertTok"/>
    <w:basedOn w:val="VerbatimChar"/>
    <w:rPr>
      <w:rFonts w:ascii="Consolas" w:hAnsi="Consolas"/>
      <w:b/>
      <w:color w:val="FF0000"/>
      <w:sz w:val="22"/>
    </w:rPr>
  </w:style>
  <w:style w:type="character" w:customStyle="1" w:styleId="ErrorTok">
    <w:name w:val="ErrorTok"/>
    <w:basedOn w:val="VerbatimChar"/>
    <w:rPr>
      <w:rFonts w:ascii="Consolas" w:hAnsi="Consolas"/>
      <w:b/>
      <w:color w:val="FF0000"/>
      <w:sz w:val="22"/>
    </w:rPr>
  </w:style>
  <w:style w:type="character" w:customStyle="1" w:styleId="NormalTok">
    <w:name w:val="NormalTok"/>
    <w:basedOn w:val="VerbatimChar"/>
    <w:rPr>
      <w:rFonts w:ascii="Consolas" w:hAnsi="Consolas"/>
      <w:sz w:val="22"/>
    </w:rPr>
  </w:style>
  <w:style w:type="table" w:styleId="TableGrid">
    <w:name w:val="Table Grid"/>
    <w:basedOn w:val="TableNormal"/>
    <w:tblPr>
      <w:tblBorders>
        <w:top w:val="single" w:sz="4" w:space="0" w:color="000000"/>
        <w:bottom w:val="single" w:sz="4" w:space="0" w:color="000000"/>
        <w:right w:val="single" w:sz="4" w:space="0" w:color="000000"/>
        <w:insideH w:val="single" w:sz="4" w:space="0" w:color="000000"/>
        <w:insideV w:val="single" w:sz="4" w:space="0" w:color="000000"/>
      </w:tblBorders>
    </w:tblPr>
  </w:style>
  <w:style w:type="paragraph" w:styleId="Subtitle">
    <w:name w:val="Subtitle"/>
    <w:basedOn w:val="Normal"/>
    <w:next w:val="Normal"/>
    <w:pPr>
      <w:keepNext/>
      <w:keepLines/>
      <w:spacing w:before="240" w:after="240"/>
      <w:jc w:val="center"/>
    </w:pPr>
    <w:rPr>
      <w:rFonts w:ascii="Calibri" w:eastAsia="Calibri" w:hAnsi="Calibri" w:cs="Calibri"/>
      <w:b/>
      <w:bCs/>
      <w:color w:val="335B8A"/>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PnkS2nzVqCH1XRE8a6pfBojtdwA==">CgMxLjA4AHIhMU9tZlZvUkdEM3pwWjI0NkVqQlpKOFltaXpWU0owY0h0</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Pages>
  <Words>1848</Words>
  <Characters>10534</Characters>
  <Application>Microsoft Office Word</Application>
  <DocSecurity>0</DocSecurity>
  <Lines>87</Lines>
  <Paragraphs>24</Paragraphs>
  <ScaleCrop>false</ScaleCrop>
  <Company/>
  <LinksUpToDate>false</LinksUpToDate>
  <CharactersWithSpaces>12358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Mrs Thuy</dc:creator>
  <cp:lastModifiedBy>phamtien090@gmail.com</cp:lastModifiedBy>
  <cp:revision>3</cp:revision>
  <dcterms:created xsi:type="dcterms:W3CDTF">2026-01-21T09:29:00Z</dcterms:created>
  <dcterms:modified xsi:type="dcterms:W3CDTF">2026-01-21T09:29:00Z</dcterms:modified>
</cp:coreProperties>
</file>